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B1" w:rsidRDefault="00AB1AB1" w:rsidP="00CB2CDC">
      <w:pPr>
        <w:rPr>
          <w:rFonts w:asciiTheme="minorHAnsi" w:hAnsiTheme="minorHAnsi"/>
          <w:sz w:val="22"/>
          <w:szCs w:val="22"/>
        </w:rPr>
      </w:pPr>
    </w:p>
    <w:p w:rsidR="00CB2CDC" w:rsidRDefault="00CB2CDC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CB2CDC" w:rsidRPr="00CB2CDC" w:rsidRDefault="003212CA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Budget Variance Policy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3212CA" w:rsidP="00CB2CDC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CB2CDC" w:rsidRDefault="00CB2CDC" w:rsidP="00CB2CDC">
      <w:pPr>
        <w:rPr>
          <w:rFonts w:asciiTheme="minorHAnsi" w:hAnsiTheme="minorHAnsi"/>
          <w:b/>
        </w:rPr>
      </w:pPr>
    </w:p>
    <w:p w:rsidR="00CB2CDC" w:rsidRDefault="00AF2893" w:rsidP="00CB2CD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policy pertains to</w:t>
      </w:r>
      <w:r w:rsidRPr="00D21F8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budget variances in both the CNCS Share and Grantee Share of an AmeriCorps budget</w:t>
      </w:r>
      <w:r w:rsidR="0029712F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9712F">
        <w:rPr>
          <w:rFonts w:asciiTheme="minorHAnsi" w:hAnsiTheme="minorHAnsi" w:cs="Arial"/>
          <w:sz w:val="22"/>
          <w:szCs w:val="22"/>
        </w:rPr>
        <w:t>It includes</w:t>
      </w:r>
      <w:r>
        <w:rPr>
          <w:rFonts w:asciiTheme="minorHAnsi" w:hAnsiTheme="minorHAnsi" w:cs="Arial"/>
          <w:sz w:val="22"/>
          <w:szCs w:val="22"/>
        </w:rPr>
        <w:t xml:space="preserve"> information on </w:t>
      </w:r>
      <w:r w:rsidR="0029712F">
        <w:rPr>
          <w:rFonts w:asciiTheme="minorHAnsi" w:hAnsiTheme="minorHAnsi" w:cs="Arial"/>
          <w:sz w:val="22"/>
          <w:szCs w:val="22"/>
        </w:rPr>
        <w:t>how variances are monitored and when a formal grant amendment is necessary.</w:t>
      </w:r>
    </w:p>
    <w:p w:rsidR="0029712F" w:rsidRDefault="0029712F" w:rsidP="00CB2CDC">
      <w:pPr>
        <w:rPr>
          <w:rFonts w:asciiTheme="minorHAnsi" w:hAnsiTheme="minorHAnsi"/>
        </w:rPr>
      </w:pPr>
    </w:p>
    <w:p w:rsidR="00AF2893" w:rsidRPr="00AF2893" w:rsidRDefault="003212CA" w:rsidP="00AF2893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CNCS Share Variance</w:t>
      </w:r>
      <w:r w:rsidR="00AF2893">
        <w:rPr>
          <w:rFonts w:asciiTheme="minorHAnsi" w:hAnsiTheme="minorHAnsi"/>
          <w:b/>
          <w:sz w:val="22"/>
          <w:szCs w:val="22"/>
        </w:rPr>
        <w:t>s</w:t>
      </w:r>
    </w:p>
    <w:p w:rsidR="00AF2893" w:rsidRDefault="00AF2893" w:rsidP="003212CA">
      <w:pPr>
        <w:rPr>
          <w:rFonts w:asciiTheme="minorHAnsi" w:hAnsiTheme="minorHAnsi"/>
          <w:sz w:val="22"/>
        </w:rPr>
      </w:pPr>
    </w:p>
    <w:p w:rsidR="003212CA" w:rsidRDefault="003212CA" w:rsidP="003212C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OneStar tracks</w:t>
      </w:r>
      <w:r w:rsidRPr="003212CA">
        <w:rPr>
          <w:rFonts w:asciiTheme="minorHAnsi" w:hAnsiTheme="minorHAnsi"/>
          <w:sz w:val="22"/>
        </w:rPr>
        <w:t xml:space="preserve"> its sub-grantees’ budget variances t</w:t>
      </w:r>
      <w:r w:rsidR="00CC463D">
        <w:rPr>
          <w:rFonts w:asciiTheme="minorHAnsi" w:hAnsiTheme="minorHAnsi"/>
          <w:sz w:val="22"/>
        </w:rPr>
        <w:t>o ensure compliance with the requir</w:t>
      </w:r>
      <w:r w:rsidR="00055DEE">
        <w:rPr>
          <w:rFonts w:asciiTheme="minorHAnsi" w:hAnsiTheme="minorHAnsi"/>
          <w:sz w:val="22"/>
        </w:rPr>
        <w:t>ed Terms and Conditions of the g</w:t>
      </w:r>
      <w:r w:rsidR="00CC463D">
        <w:rPr>
          <w:rFonts w:asciiTheme="minorHAnsi" w:hAnsiTheme="minorHAnsi"/>
          <w:sz w:val="22"/>
        </w:rPr>
        <w:t xml:space="preserve">rant. </w:t>
      </w:r>
      <w:r w:rsidR="00BB1038">
        <w:rPr>
          <w:rFonts w:asciiTheme="minorHAnsi" w:hAnsiTheme="minorHAnsi"/>
          <w:sz w:val="22"/>
        </w:rPr>
        <w:t xml:space="preserve">Variances are </w:t>
      </w:r>
      <w:r w:rsidRPr="003212CA">
        <w:rPr>
          <w:rFonts w:asciiTheme="minorHAnsi" w:hAnsiTheme="minorHAnsi"/>
          <w:sz w:val="22"/>
        </w:rPr>
        <w:t xml:space="preserve">tracked through analysis of sub-grantees’ Periodic </w:t>
      </w:r>
      <w:r w:rsidR="0029712F">
        <w:rPr>
          <w:rFonts w:asciiTheme="minorHAnsi" w:hAnsiTheme="minorHAnsi"/>
          <w:sz w:val="22"/>
        </w:rPr>
        <w:t xml:space="preserve">Expense </w:t>
      </w:r>
      <w:r w:rsidRPr="003212CA">
        <w:rPr>
          <w:rFonts w:asciiTheme="minorHAnsi" w:hAnsiTheme="minorHAnsi"/>
          <w:sz w:val="22"/>
        </w:rPr>
        <w:t>Reimbursement Requests (PER)</w:t>
      </w:r>
      <w:r>
        <w:rPr>
          <w:rFonts w:asciiTheme="minorHAnsi" w:hAnsiTheme="minorHAnsi"/>
          <w:sz w:val="22"/>
        </w:rPr>
        <w:t xml:space="preserve"> and the PER Tracking Spreadsheets </w:t>
      </w:r>
      <w:r w:rsidR="00BB1038">
        <w:rPr>
          <w:rFonts w:asciiTheme="minorHAnsi" w:hAnsiTheme="minorHAnsi"/>
          <w:sz w:val="22"/>
        </w:rPr>
        <w:t xml:space="preserve">as </w:t>
      </w:r>
      <w:r w:rsidRPr="003212CA">
        <w:rPr>
          <w:rFonts w:asciiTheme="minorHAnsi" w:hAnsiTheme="minorHAnsi"/>
          <w:sz w:val="22"/>
        </w:rPr>
        <w:t>outlined in the AmeriCorps Sub-Grantee Reimbursement Process document.</w:t>
      </w:r>
    </w:p>
    <w:p w:rsidR="00AF2893" w:rsidRPr="003212CA" w:rsidRDefault="00AF2893" w:rsidP="003212CA">
      <w:pPr>
        <w:rPr>
          <w:rFonts w:asciiTheme="minorHAnsi" w:hAnsiTheme="minorHAnsi"/>
          <w:sz w:val="22"/>
          <w:u w:val="single"/>
        </w:rPr>
      </w:pPr>
    </w:p>
    <w:p w:rsidR="00AF2893" w:rsidRPr="003212CA" w:rsidRDefault="00055DEE" w:rsidP="00AF28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Sub-g</w:t>
      </w:r>
      <w:r w:rsidR="00AF2893" w:rsidRPr="003212CA">
        <w:rPr>
          <w:rFonts w:asciiTheme="minorHAnsi" w:hAnsiTheme="minorHAnsi" w:cs="Arial"/>
          <w:sz w:val="22"/>
          <w:szCs w:val="22"/>
        </w:rPr>
        <w:t xml:space="preserve">rantees may have budget changes without a formal Budget Line Adjustment Request (BLAR) or formal approval as long as the cumulative overages do not exceed 10% of the total budget. </w:t>
      </w:r>
    </w:p>
    <w:p w:rsidR="00AF2893" w:rsidRPr="003212CA" w:rsidRDefault="00AF2893" w:rsidP="00AF2893">
      <w:pPr>
        <w:rPr>
          <w:rFonts w:asciiTheme="minorHAnsi" w:hAnsiTheme="minorHAnsi" w:cs="Arial"/>
          <w:sz w:val="22"/>
          <w:szCs w:val="22"/>
        </w:rPr>
      </w:pPr>
    </w:p>
    <w:p w:rsidR="00AF2893" w:rsidRPr="003212CA" w:rsidRDefault="0029712F" w:rsidP="00AF2893">
      <w:pPr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OneStar </w:t>
      </w:r>
      <w:r w:rsidR="00AF2893" w:rsidRPr="003212CA">
        <w:rPr>
          <w:rFonts w:asciiTheme="minorHAnsi" w:hAnsiTheme="minorHAnsi" w:cs="Arial"/>
          <w:sz w:val="22"/>
          <w:szCs w:val="22"/>
        </w:rPr>
        <w:t>monitor</w:t>
      </w:r>
      <w:r>
        <w:rPr>
          <w:rFonts w:asciiTheme="minorHAnsi" w:hAnsiTheme="minorHAnsi" w:cs="Arial"/>
          <w:sz w:val="22"/>
          <w:szCs w:val="22"/>
        </w:rPr>
        <w:t xml:space="preserve">s </w:t>
      </w:r>
      <w:r w:rsidR="00AF2893" w:rsidRPr="003212CA">
        <w:rPr>
          <w:rFonts w:asciiTheme="minorHAnsi" w:hAnsiTheme="minorHAnsi" w:cs="Arial"/>
          <w:sz w:val="22"/>
          <w:szCs w:val="22"/>
        </w:rPr>
        <w:t xml:space="preserve">budget overages with each submitted Periodic Expense Report (PER) to ensure adherence to the 10% policy; however it is the responsibility of the </w:t>
      </w:r>
      <w:r w:rsidR="00BB1038">
        <w:rPr>
          <w:rFonts w:asciiTheme="minorHAnsi" w:hAnsiTheme="minorHAnsi" w:cs="Arial"/>
          <w:sz w:val="22"/>
          <w:szCs w:val="22"/>
        </w:rPr>
        <w:t>sub-</w:t>
      </w:r>
      <w:r w:rsidR="00AF2893" w:rsidRPr="003212CA">
        <w:rPr>
          <w:rFonts w:asciiTheme="minorHAnsi" w:hAnsiTheme="minorHAnsi" w:cs="Arial"/>
          <w:sz w:val="22"/>
          <w:szCs w:val="22"/>
        </w:rPr>
        <w:t>grantee to ensure management of their budget and compliance with all requirements.</w:t>
      </w:r>
    </w:p>
    <w:p w:rsidR="00AF2893" w:rsidRPr="003212CA" w:rsidRDefault="00AF2893" w:rsidP="00AF2893">
      <w:pPr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3212CA">
        <w:rPr>
          <w:rFonts w:asciiTheme="minorHAnsi" w:hAnsiTheme="minorHAnsi" w:cs="Arial"/>
          <w:sz w:val="22"/>
          <w:szCs w:val="22"/>
        </w:rPr>
        <w:t>An overage greater than 10% may be allowed in certain circumstances but will require prior written approval by OneStar.</w:t>
      </w:r>
    </w:p>
    <w:p w:rsidR="00AF2893" w:rsidRPr="003212CA" w:rsidRDefault="00AF2893" w:rsidP="00AF2893">
      <w:pPr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3212CA">
        <w:rPr>
          <w:rFonts w:asciiTheme="minorHAnsi" w:hAnsiTheme="minorHAnsi" w:cs="Arial"/>
          <w:sz w:val="22"/>
          <w:szCs w:val="22"/>
        </w:rPr>
        <w:t>While this policy does set a threshol</w:t>
      </w:r>
      <w:r w:rsidR="00055DEE">
        <w:rPr>
          <w:rFonts w:asciiTheme="minorHAnsi" w:hAnsiTheme="minorHAnsi" w:cs="Arial"/>
          <w:sz w:val="22"/>
          <w:szCs w:val="22"/>
        </w:rPr>
        <w:t>d for overages,</w:t>
      </w:r>
      <w:r w:rsidRPr="003212CA">
        <w:rPr>
          <w:rFonts w:asciiTheme="minorHAnsi" w:hAnsiTheme="minorHAnsi" w:cs="Arial"/>
          <w:sz w:val="22"/>
          <w:szCs w:val="22"/>
        </w:rPr>
        <w:t xml:space="preserve"> other programmatic or budgetary changes may warrant a BLAR </w:t>
      </w:r>
      <w:r w:rsidR="00055DEE">
        <w:rPr>
          <w:rFonts w:asciiTheme="minorHAnsi" w:hAnsiTheme="minorHAnsi" w:cs="Arial"/>
          <w:sz w:val="22"/>
          <w:szCs w:val="22"/>
        </w:rPr>
        <w:t xml:space="preserve">or formal amendment </w:t>
      </w:r>
      <w:r w:rsidRPr="003212CA">
        <w:rPr>
          <w:rFonts w:asciiTheme="minorHAnsi" w:hAnsiTheme="minorHAnsi" w:cs="Arial"/>
          <w:sz w:val="22"/>
          <w:szCs w:val="22"/>
        </w:rPr>
        <w:t>even if it is below the 10% threshold.</w:t>
      </w:r>
      <w:r w:rsidR="0029712F" w:rsidRPr="00055DEE">
        <w:rPr>
          <w:rFonts w:asciiTheme="minorHAnsi" w:hAnsiTheme="minorHAnsi" w:cs="Arial"/>
          <w:i/>
          <w:sz w:val="22"/>
          <w:szCs w:val="22"/>
        </w:rPr>
        <w:t xml:space="preserve"> See applicable Grant Terms and Conditions.</w:t>
      </w:r>
    </w:p>
    <w:p w:rsidR="00AF2893" w:rsidRPr="003212CA" w:rsidRDefault="00AF2893" w:rsidP="00AF2893">
      <w:pPr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3212CA">
        <w:rPr>
          <w:rFonts w:asciiTheme="minorHAnsi" w:hAnsiTheme="minorHAnsi" w:cs="Arial"/>
          <w:sz w:val="22"/>
          <w:szCs w:val="22"/>
        </w:rPr>
        <w:t>As always, any significant budget and/or programmatic change</w:t>
      </w:r>
      <w:r w:rsidR="00BB1038">
        <w:rPr>
          <w:rFonts w:asciiTheme="minorHAnsi" w:hAnsiTheme="minorHAnsi" w:cs="Arial"/>
          <w:sz w:val="22"/>
          <w:szCs w:val="22"/>
        </w:rPr>
        <w:t>s</w:t>
      </w:r>
      <w:r w:rsidRPr="003212CA">
        <w:rPr>
          <w:rFonts w:asciiTheme="minorHAnsi" w:hAnsiTheme="minorHAnsi" w:cs="Arial"/>
          <w:sz w:val="22"/>
          <w:szCs w:val="22"/>
        </w:rPr>
        <w:t xml:space="preserve"> should be communicated </w:t>
      </w:r>
      <w:r w:rsidR="00055DEE">
        <w:rPr>
          <w:rFonts w:asciiTheme="minorHAnsi" w:hAnsiTheme="minorHAnsi" w:cs="Arial"/>
          <w:sz w:val="22"/>
          <w:szCs w:val="22"/>
        </w:rPr>
        <w:t>by the sub-grantee to their</w:t>
      </w:r>
      <w:r w:rsidRPr="003212CA">
        <w:rPr>
          <w:rFonts w:asciiTheme="minorHAnsi" w:hAnsiTheme="minorHAnsi" w:cs="Arial"/>
          <w:sz w:val="22"/>
          <w:szCs w:val="22"/>
        </w:rPr>
        <w:t xml:space="preserve"> assigned </w:t>
      </w:r>
      <w:proofErr w:type="spellStart"/>
      <w:r w:rsidRPr="003212CA">
        <w:rPr>
          <w:rFonts w:asciiTheme="minorHAnsi" w:hAnsiTheme="minorHAnsi" w:cs="Arial"/>
          <w:sz w:val="22"/>
          <w:szCs w:val="22"/>
        </w:rPr>
        <w:t>OneStar</w:t>
      </w:r>
      <w:proofErr w:type="spellEnd"/>
      <w:r w:rsidRPr="003212CA">
        <w:rPr>
          <w:rFonts w:asciiTheme="minorHAnsi" w:hAnsiTheme="minorHAnsi" w:cs="Arial"/>
          <w:sz w:val="22"/>
          <w:szCs w:val="22"/>
        </w:rPr>
        <w:t xml:space="preserve"> </w:t>
      </w:r>
      <w:r w:rsidR="00BB1038">
        <w:rPr>
          <w:rFonts w:asciiTheme="minorHAnsi" w:hAnsiTheme="minorHAnsi" w:cs="Arial"/>
          <w:sz w:val="22"/>
          <w:szCs w:val="22"/>
        </w:rPr>
        <w:t>Grants Officers</w:t>
      </w:r>
      <w:r w:rsidRPr="003212CA">
        <w:rPr>
          <w:rFonts w:asciiTheme="minorHAnsi" w:hAnsiTheme="minorHAnsi" w:cs="Arial"/>
          <w:sz w:val="22"/>
          <w:szCs w:val="22"/>
        </w:rPr>
        <w:t xml:space="preserve">. </w:t>
      </w:r>
    </w:p>
    <w:p w:rsidR="003212CA" w:rsidRDefault="003212CA" w:rsidP="003212CA">
      <w:pPr>
        <w:rPr>
          <w:rFonts w:asciiTheme="minorHAnsi" w:hAnsiTheme="minorHAnsi"/>
          <w:b/>
          <w:sz w:val="22"/>
          <w:u w:val="single"/>
        </w:rPr>
      </w:pPr>
    </w:p>
    <w:p w:rsidR="003212CA" w:rsidRDefault="003212CA" w:rsidP="003212CA">
      <w:pPr>
        <w:rPr>
          <w:rFonts w:asciiTheme="minorHAnsi" w:hAnsiTheme="minorHAnsi"/>
          <w:b/>
          <w:sz w:val="22"/>
          <w:u w:val="single"/>
        </w:rPr>
      </w:pPr>
    </w:p>
    <w:p w:rsidR="003212CA" w:rsidRPr="00CB2CDC" w:rsidRDefault="00AF2893" w:rsidP="003212C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Grantee Share Variances</w:t>
      </w:r>
    </w:p>
    <w:p w:rsidR="00CC463D" w:rsidRDefault="00CC463D" w:rsidP="00AF2893">
      <w:pPr>
        <w:rPr>
          <w:rFonts w:asciiTheme="minorHAnsi" w:hAnsiTheme="minorHAnsi"/>
          <w:sz w:val="22"/>
        </w:rPr>
      </w:pPr>
    </w:p>
    <w:p w:rsidR="00AF2893" w:rsidRPr="003212CA" w:rsidRDefault="00AF2893" w:rsidP="00AF2893">
      <w:pPr>
        <w:rPr>
          <w:rFonts w:asciiTheme="minorHAnsi" w:hAnsiTheme="minorHAnsi"/>
          <w:sz w:val="22"/>
          <w:u w:val="single"/>
        </w:rPr>
      </w:pPr>
      <w:r w:rsidRPr="003212CA">
        <w:rPr>
          <w:rFonts w:asciiTheme="minorHAnsi" w:hAnsiTheme="minorHAnsi"/>
          <w:sz w:val="22"/>
        </w:rPr>
        <w:t xml:space="preserve">OneStar does not formally track variances that increase grantee share; however, </w:t>
      </w:r>
      <w:proofErr w:type="spellStart"/>
      <w:r w:rsidRPr="003212CA">
        <w:rPr>
          <w:rFonts w:asciiTheme="minorHAnsi" w:hAnsiTheme="minorHAnsi"/>
          <w:sz w:val="22"/>
        </w:rPr>
        <w:t>OneStar</w:t>
      </w:r>
      <w:proofErr w:type="spellEnd"/>
      <w:r w:rsidRPr="003212CA">
        <w:rPr>
          <w:rFonts w:asciiTheme="minorHAnsi" w:hAnsiTheme="minorHAnsi"/>
          <w:sz w:val="22"/>
        </w:rPr>
        <w:t xml:space="preserve"> does track compliance with match percentages so that any variances in grantee share that result in decreased matching percentages are noted as non-compliant and discussed and resolved with </w:t>
      </w:r>
      <w:r w:rsidR="0029712F">
        <w:rPr>
          <w:rFonts w:asciiTheme="minorHAnsi" w:hAnsiTheme="minorHAnsi"/>
          <w:sz w:val="22"/>
        </w:rPr>
        <w:t xml:space="preserve">the </w:t>
      </w:r>
      <w:r w:rsidRPr="003212CA">
        <w:rPr>
          <w:rFonts w:asciiTheme="minorHAnsi" w:hAnsiTheme="minorHAnsi"/>
          <w:sz w:val="22"/>
        </w:rPr>
        <w:t xml:space="preserve">sub-grantee. </w:t>
      </w:r>
    </w:p>
    <w:p w:rsidR="00AF2893" w:rsidRDefault="00AF2893" w:rsidP="00AF2893">
      <w:pPr>
        <w:pStyle w:val="NormalWeb"/>
        <w:rPr>
          <w:rFonts w:asciiTheme="minorHAnsi" w:eastAsiaTheme="minorHAnsi" w:hAnsiTheme="minorHAnsi"/>
          <w:sz w:val="22"/>
        </w:rPr>
      </w:pPr>
      <w:r w:rsidRPr="003212CA">
        <w:rPr>
          <w:rFonts w:asciiTheme="minorHAnsi" w:eastAsiaTheme="minorHAnsi" w:hAnsiTheme="minorHAnsi"/>
          <w:sz w:val="22"/>
        </w:rPr>
        <w:t>OneStar tracks compliance with mat</w:t>
      </w:r>
      <w:r w:rsidR="00CC463D">
        <w:rPr>
          <w:rFonts w:asciiTheme="minorHAnsi" w:eastAsiaTheme="minorHAnsi" w:hAnsiTheme="minorHAnsi"/>
          <w:sz w:val="22"/>
        </w:rPr>
        <w:t>ch percentages through the PER Monitoring Process and the AmeriCorps Sub-Grantee Reimbursement P</w:t>
      </w:r>
      <w:r w:rsidRPr="003212CA">
        <w:rPr>
          <w:rFonts w:asciiTheme="minorHAnsi" w:eastAsiaTheme="minorHAnsi" w:hAnsiTheme="minorHAnsi"/>
          <w:sz w:val="22"/>
        </w:rPr>
        <w:t>rocesses</w:t>
      </w:r>
      <w:r w:rsidR="00CC463D">
        <w:rPr>
          <w:rFonts w:asciiTheme="minorHAnsi" w:eastAsiaTheme="minorHAnsi" w:hAnsiTheme="minorHAnsi"/>
          <w:sz w:val="22"/>
        </w:rPr>
        <w:t>.</w:t>
      </w:r>
      <w:r w:rsidRPr="003212CA">
        <w:rPr>
          <w:rFonts w:asciiTheme="minorHAnsi" w:eastAsiaTheme="minorHAnsi" w:hAnsiTheme="minorHAnsi"/>
          <w:sz w:val="22"/>
        </w:rPr>
        <w:t xml:space="preserve"> </w:t>
      </w:r>
    </w:p>
    <w:p w:rsidR="00CC463D" w:rsidRDefault="00CC463D" w:rsidP="00CB2CDC">
      <w:pPr>
        <w:rPr>
          <w:rFonts w:asciiTheme="minorHAnsi" w:hAnsiTheme="minorHAnsi"/>
        </w:rPr>
      </w:pPr>
    </w:p>
    <w:p w:rsidR="00CC463D" w:rsidRPr="00E71968" w:rsidRDefault="00CC463D" w:rsidP="00CB2CDC">
      <w:pPr>
        <w:rPr>
          <w:rFonts w:asciiTheme="minorHAnsi" w:hAnsiTheme="minorHAnsi"/>
        </w:rPr>
      </w:pPr>
      <w:bookmarkStart w:id="0" w:name="_GoBack"/>
      <w:bookmarkEnd w:id="0"/>
    </w:p>
    <w:sectPr w:rsidR="00CC463D" w:rsidRPr="00E71968" w:rsidSect="00613A7E">
      <w:headerReference w:type="default" r:id="rId9"/>
      <w:footerReference w:type="default" r:id="rId10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D" w:rsidRDefault="00CC463D" w:rsidP="00E71968">
      <w:r>
        <w:separator/>
      </w:r>
    </w:p>
  </w:endnote>
  <w:endnote w:type="continuationSeparator" w:id="0">
    <w:p w:rsidR="00CC463D" w:rsidRDefault="00CC463D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C463D" w:rsidRPr="00501DEA" w:rsidRDefault="00055DEE" w:rsidP="00501DEA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Last revised </w:t>
            </w:r>
            <w:r w:rsidR="00BB1038">
              <w:rPr>
                <w:rFonts w:asciiTheme="minorHAnsi" w:hAnsiTheme="minorHAnsi"/>
                <w:i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BB1038">
              <w:rPr>
                <w:rFonts w:asciiTheme="minorHAnsi" w:hAnsiTheme="minorHAnsi"/>
                <w:i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.1</w:t>
            </w:r>
            <w:r w:rsidR="00BB1038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="00CC463D"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 w:rsidR="00CC463D"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="00CC463D"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CC463D"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B1038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CC463D"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CC463D"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B1038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110C10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C463D" w:rsidRPr="00CB2CDC" w:rsidRDefault="00CC463D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D" w:rsidRDefault="00CC463D" w:rsidP="00E71968">
      <w:r>
        <w:separator/>
      </w:r>
    </w:p>
  </w:footnote>
  <w:footnote w:type="continuationSeparator" w:id="0">
    <w:p w:rsidR="00CC463D" w:rsidRDefault="00CC463D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3D" w:rsidRDefault="00DA181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45E3F0" wp14:editId="22466420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724025" cy="545014"/>
          <wp:effectExtent l="0" t="0" r="0" b="0"/>
          <wp:wrapNone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9200"/>
                  <a:stretch/>
                </pic:blipFill>
                <pic:spPr bwMode="auto">
                  <a:xfrm>
                    <a:off x="0" y="0"/>
                    <a:ext cx="1724025" cy="545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0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pt;margin-top:1.35pt;width:262.2pt;height:39.75pt;z-index:251658240;mso-position-horizontal-relative:text;mso-position-vertical-relative:text" filled="f" stroked="f">
          <v:textbox style="mso-next-textbox:#_x0000_s2049">
            <w:txbxContent>
              <w:p w:rsidR="00CC463D" w:rsidRPr="002B6DF9" w:rsidRDefault="00CC463D" w:rsidP="00960758">
                <w:pPr>
                  <w:jc w:val="right"/>
                  <w:rPr>
                    <w:rFonts w:ascii="Arial Bold" w:hAnsi="Arial Bold"/>
                    <w:color w:val="62A4C2"/>
                    <w:sz w:val="28"/>
                  </w:rPr>
                </w:pPr>
                <w:r>
                  <w:rPr>
                    <w:rFonts w:ascii="Arial Bold" w:hAnsi="Arial Bold"/>
                    <w:color w:val="62A4C2"/>
                    <w:sz w:val="28"/>
                  </w:rPr>
                  <w:t>AmeriCorps Policies + Procedures</w:t>
                </w:r>
              </w:p>
              <w:p w:rsidR="00CC463D" w:rsidRPr="002B6DF9" w:rsidRDefault="00CC463D" w:rsidP="00960758">
                <w:pPr>
                  <w:jc w:val="right"/>
                  <w:rPr>
                    <w:rFonts w:ascii="Arial Bold" w:hAnsi="Arial Bold"/>
                    <w:color w:val="62A4C2"/>
                    <w:sz w:val="32"/>
                  </w:rPr>
                </w:pPr>
                <w:r>
                  <w:rPr>
                    <w:rFonts w:ascii="Arial" w:hAnsi="Arial"/>
                    <w:color w:val="FF9900"/>
                  </w:rPr>
                  <w:t>Budget Variance</w:t>
                </w:r>
              </w:p>
            </w:txbxContent>
          </v:textbox>
        </v:shape>
      </w:pict>
    </w:r>
    <w:r w:rsidR="00BB1038">
      <w:rPr>
        <w:noProof/>
      </w:rPr>
      <w:pict>
        <v:line id="_x0000_s2050" style="position:absolute;z-index:251659264;mso-position-horizontal-relative:text;mso-position-vertical-relative:text" from="246pt,3.25pt" to="246pt,39.25p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225"/>
    <w:multiLevelType w:val="hybridMultilevel"/>
    <w:tmpl w:val="D46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0308"/>
    <w:multiLevelType w:val="hybridMultilevel"/>
    <w:tmpl w:val="F90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68"/>
    <w:rsid w:val="00055DEE"/>
    <w:rsid w:val="000A361C"/>
    <w:rsid w:val="000C7AB2"/>
    <w:rsid w:val="00110C10"/>
    <w:rsid w:val="00125C90"/>
    <w:rsid w:val="0017186C"/>
    <w:rsid w:val="001D1C88"/>
    <w:rsid w:val="001E1D99"/>
    <w:rsid w:val="0021735B"/>
    <w:rsid w:val="0022307D"/>
    <w:rsid w:val="00271C74"/>
    <w:rsid w:val="0029712F"/>
    <w:rsid w:val="002B15A2"/>
    <w:rsid w:val="002B7C31"/>
    <w:rsid w:val="002D19F2"/>
    <w:rsid w:val="00307106"/>
    <w:rsid w:val="00312362"/>
    <w:rsid w:val="003212CA"/>
    <w:rsid w:val="00437E04"/>
    <w:rsid w:val="004701F5"/>
    <w:rsid w:val="004C0356"/>
    <w:rsid w:val="004C4B70"/>
    <w:rsid w:val="00501DEA"/>
    <w:rsid w:val="005239ED"/>
    <w:rsid w:val="00526B9D"/>
    <w:rsid w:val="00573069"/>
    <w:rsid w:val="005B1B46"/>
    <w:rsid w:val="005D148B"/>
    <w:rsid w:val="005D2B4F"/>
    <w:rsid w:val="00613A7E"/>
    <w:rsid w:val="00614839"/>
    <w:rsid w:val="0070136B"/>
    <w:rsid w:val="007405AC"/>
    <w:rsid w:val="00743E5A"/>
    <w:rsid w:val="009600EE"/>
    <w:rsid w:val="00960758"/>
    <w:rsid w:val="009B3957"/>
    <w:rsid w:val="009E0E5A"/>
    <w:rsid w:val="00A60A57"/>
    <w:rsid w:val="00AB1AB1"/>
    <w:rsid w:val="00AD3D15"/>
    <w:rsid w:val="00AF2893"/>
    <w:rsid w:val="00B01D5E"/>
    <w:rsid w:val="00B33783"/>
    <w:rsid w:val="00B37E67"/>
    <w:rsid w:val="00BB1038"/>
    <w:rsid w:val="00BF7DDE"/>
    <w:rsid w:val="00CB2CDC"/>
    <w:rsid w:val="00CC463D"/>
    <w:rsid w:val="00CF2920"/>
    <w:rsid w:val="00CF64F3"/>
    <w:rsid w:val="00D13819"/>
    <w:rsid w:val="00DA1810"/>
    <w:rsid w:val="00E02E86"/>
    <w:rsid w:val="00E71968"/>
    <w:rsid w:val="00E9051E"/>
    <w:rsid w:val="00E95C03"/>
    <w:rsid w:val="00EA463B"/>
    <w:rsid w:val="00EA794A"/>
    <w:rsid w:val="00EC369A"/>
    <w:rsid w:val="00ED3466"/>
    <w:rsid w:val="00F211B7"/>
    <w:rsid w:val="00FB157D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paragraph" w:styleId="NormalWeb">
    <w:name w:val="Normal (Web)"/>
    <w:basedOn w:val="Normal"/>
    <w:rsid w:val="003212CA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6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2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BD4C-D3EA-4254-95AB-FEC6130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Frankenberger</dc:creator>
  <cp:keywords/>
  <dc:description/>
  <cp:lastModifiedBy>Emily Steinberg</cp:lastModifiedBy>
  <cp:revision>8</cp:revision>
  <cp:lastPrinted>2010-10-13T17:09:00Z</cp:lastPrinted>
  <dcterms:created xsi:type="dcterms:W3CDTF">2010-10-13T16:32:00Z</dcterms:created>
  <dcterms:modified xsi:type="dcterms:W3CDTF">2012-06-22T19:23:00Z</dcterms:modified>
</cp:coreProperties>
</file>