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968" w:rsidRPr="00E71968" w:rsidRDefault="00E71968" w:rsidP="00CB2CDC">
      <w:pPr>
        <w:rPr>
          <w:rFonts w:asciiTheme="minorHAnsi" w:hAnsiTheme="minorHAnsi" w:cs="Arial"/>
          <w:sz w:val="22"/>
          <w:szCs w:val="22"/>
        </w:rPr>
      </w:pPr>
    </w:p>
    <w:p w:rsidR="00AB1AB1" w:rsidRDefault="00AB1AB1" w:rsidP="00CB2CDC">
      <w:pPr>
        <w:rPr>
          <w:rFonts w:asciiTheme="minorHAnsi" w:hAnsiTheme="minorHAnsi"/>
          <w:sz w:val="22"/>
          <w:szCs w:val="22"/>
        </w:rPr>
      </w:pPr>
    </w:p>
    <w:p w:rsidR="00CB2CDC" w:rsidRPr="00CB2CDC" w:rsidRDefault="00145B28" w:rsidP="00CB2CDC">
      <w:pPr>
        <w:jc w:val="center"/>
        <w:rPr>
          <w:rFonts w:asciiTheme="minorHAnsi" w:hAnsiTheme="minorHAnsi"/>
          <w:b/>
          <w:caps/>
          <w:sz w:val="22"/>
          <w:szCs w:val="22"/>
        </w:rPr>
      </w:pPr>
      <w:r>
        <w:rPr>
          <w:rFonts w:asciiTheme="minorHAnsi" w:hAnsiTheme="minorHAnsi"/>
          <w:b/>
          <w:caps/>
          <w:sz w:val="22"/>
          <w:szCs w:val="22"/>
        </w:rPr>
        <w:t>Fiscal Monitoring Menu</w:t>
      </w:r>
    </w:p>
    <w:p w:rsidR="00CB2CDC" w:rsidRDefault="00CB2CDC" w:rsidP="00CB2CDC">
      <w:pPr>
        <w:rPr>
          <w:rFonts w:asciiTheme="minorHAnsi" w:hAnsiTheme="minorHAnsi"/>
          <w:sz w:val="22"/>
          <w:szCs w:val="22"/>
        </w:rPr>
      </w:pPr>
    </w:p>
    <w:p w:rsidR="00CB2CDC" w:rsidRPr="00CB2CDC" w:rsidRDefault="00145B28" w:rsidP="00CB2CDC">
      <w:pPr>
        <w:shd w:val="clear" w:color="auto" w:fill="E6E6E6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Overview</w:t>
      </w:r>
    </w:p>
    <w:p w:rsidR="00CB2CDC" w:rsidRDefault="00CB2CDC" w:rsidP="00CB2CDC">
      <w:pPr>
        <w:rPr>
          <w:rFonts w:asciiTheme="minorHAnsi" w:hAnsiTheme="minorHAnsi"/>
          <w:b/>
        </w:rPr>
      </w:pPr>
    </w:p>
    <w:p w:rsidR="00145B28" w:rsidRDefault="00145B28" w:rsidP="00145B28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OneStar</w:t>
      </w:r>
      <w:bookmarkStart w:id="0" w:name="_GoBack"/>
      <w:bookmarkEnd w:id="0"/>
      <w:r>
        <w:rPr>
          <w:rFonts w:ascii="Calibri" w:hAnsi="Calibri"/>
          <w:sz w:val="20"/>
          <w:szCs w:val="20"/>
        </w:rPr>
        <w:t xml:space="preserve"> Foundation utilizes a variety of monitoring processes and tools to conduct fiscal oversight of its sub-grantees. The processes listed below include the different fiscal monitoring options that OneStar staff may use to monitor its sub-grantees. Some elements are required for all sub-grantees, while other options may be used for </w:t>
      </w:r>
      <w:r w:rsidR="0067159C">
        <w:rPr>
          <w:rFonts w:ascii="Calibri" w:hAnsi="Calibri"/>
          <w:sz w:val="20"/>
          <w:szCs w:val="20"/>
        </w:rPr>
        <w:t>sub-</w:t>
      </w:r>
      <w:r>
        <w:rPr>
          <w:rFonts w:ascii="Calibri" w:hAnsi="Calibri"/>
          <w:sz w:val="20"/>
          <w:szCs w:val="20"/>
        </w:rPr>
        <w:t xml:space="preserve">grantees depending on identified problem areas, scope, and/or risk factors. </w:t>
      </w:r>
    </w:p>
    <w:p w:rsidR="00CB2CDC" w:rsidRDefault="00CB2CDC" w:rsidP="00CB2CDC">
      <w:pPr>
        <w:rPr>
          <w:rFonts w:asciiTheme="minorHAnsi" w:hAnsiTheme="minorHAnsi"/>
        </w:rPr>
      </w:pPr>
    </w:p>
    <w:p w:rsidR="00501DEA" w:rsidRPr="00CB2CDC" w:rsidRDefault="00501DEA" w:rsidP="00501DEA">
      <w:pPr>
        <w:shd w:val="clear" w:color="auto" w:fill="E6E6E6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Category/Description of section</w:t>
      </w:r>
    </w:p>
    <w:p w:rsidR="00CB2CDC" w:rsidRPr="00CB2CDC" w:rsidRDefault="00CB2CDC" w:rsidP="00CB2CDC">
      <w:pPr>
        <w:rPr>
          <w:rFonts w:asciiTheme="minorHAnsi" w:hAnsiTheme="minorHAnsi"/>
        </w:rPr>
      </w:pPr>
    </w:p>
    <w:p w:rsidR="00CB2CDC" w:rsidRPr="00501DEA" w:rsidRDefault="00145B28" w:rsidP="00CB2CDC">
      <w:pPr>
        <w:rPr>
          <w:rFonts w:asciiTheme="minorHAnsi" w:hAnsiTheme="minorHAnsi"/>
          <w:sz w:val="22"/>
          <w:u w:val="single"/>
        </w:rPr>
      </w:pPr>
      <w:r>
        <w:rPr>
          <w:rFonts w:asciiTheme="minorHAnsi" w:hAnsiTheme="minorHAnsi"/>
          <w:b/>
          <w:sz w:val="22"/>
          <w:u w:val="single"/>
        </w:rPr>
        <w:t>All Sub-Grantees</w:t>
      </w:r>
      <w:r w:rsidR="00CB2CDC" w:rsidRPr="00501DEA">
        <w:rPr>
          <w:rFonts w:asciiTheme="minorHAnsi" w:hAnsiTheme="minorHAnsi"/>
          <w:b/>
          <w:sz w:val="22"/>
          <w:u w:val="single"/>
        </w:rPr>
        <w:t>:</w:t>
      </w:r>
    </w:p>
    <w:p w:rsidR="00145B28" w:rsidRDefault="00145B28" w:rsidP="00145B28">
      <w:pPr>
        <w:rPr>
          <w:rFonts w:ascii="Calibri" w:hAnsi="Calibri"/>
          <w:sz w:val="20"/>
          <w:szCs w:val="20"/>
        </w:rPr>
      </w:pPr>
    </w:p>
    <w:p w:rsidR="00E06B46" w:rsidRDefault="00145B28" w:rsidP="00145B28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All AmeriCorps*Texas operating sub-grantees (excluding Fixed Amount Grants and Education Award Programs) will undergo the following monitoring processes: </w:t>
      </w:r>
    </w:p>
    <w:p w:rsidR="00E06B46" w:rsidRDefault="00E06B46" w:rsidP="00145B28">
      <w:pPr>
        <w:rPr>
          <w:rFonts w:ascii="Calibri" w:hAnsi="Calibri"/>
          <w:sz w:val="20"/>
          <w:szCs w:val="20"/>
        </w:rPr>
      </w:pPr>
    </w:p>
    <w:tbl>
      <w:tblPr>
        <w:tblW w:w="0" w:type="auto"/>
        <w:tblInd w:w="918" w:type="dxa"/>
        <w:tblLook w:val="04A0" w:firstRow="1" w:lastRow="0" w:firstColumn="1" w:lastColumn="0" w:noHBand="0" w:noVBand="1"/>
      </w:tblPr>
      <w:tblGrid>
        <w:gridCol w:w="3349"/>
        <w:gridCol w:w="2706"/>
        <w:gridCol w:w="3323"/>
      </w:tblGrid>
      <w:tr w:rsidR="00145B28" w:rsidRPr="00745668" w:rsidTr="00145B28">
        <w:trPr>
          <w:trHeight w:val="271"/>
        </w:trPr>
        <w:tc>
          <w:tcPr>
            <w:tcW w:w="3600" w:type="dxa"/>
          </w:tcPr>
          <w:p w:rsidR="00145B28" w:rsidRPr="00745668" w:rsidRDefault="00145B28" w:rsidP="00145B28">
            <w:pPr>
              <w:numPr>
                <w:ilvl w:val="0"/>
                <w:numId w:val="14"/>
              </w:numPr>
              <w:rPr>
                <w:rFonts w:ascii="Calibri" w:hAnsi="Calibri"/>
                <w:sz w:val="20"/>
                <w:szCs w:val="20"/>
              </w:rPr>
            </w:pPr>
            <w:r w:rsidRPr="00745668">
              <w:rPr>
                <w:rFonts w:ascii="Calibri" w:hAnsi="Calibri"/>
                <w:sz w:val="20"/>
                <w:szCs w:val="20"/>
              </w:rPr>
              <w:t>Portfolio risk assessment</w:t>
            </w:r>
          </w:p>
        </w:tc>
        <w:tc>
          <w:tcPr>
            <w:tcW w:w="2880" w:type="dxa"/>
          </w:tcPr>
          <w:p w:rsidR="00145B28" w:rsidRPr="00745668" w:rsidRDefault="00E06B46" w:rsidP="00145B28">
            <w:pPr>
              <w:numPr>
                <w:ilvl w:val="0"/>
                <w:numId w:val="14"/>
              </w:numPr>
              <w:rPr>
                <w:rFonts w:ascii="Calibri" w:hAnsi="Calibri"/>
                <w:sz w:val="20"/>
                <w:szCs w:val="20"/>
              </w:rPr>
            </w:pPr>
            <w:r w:rsidRPr="00745668">
              <w:rPr>
                <w:rFonts w:ascii="Calibri" w:hAnsi="Calibri"/>
                <w:sz w:val="20"/>
                <w:szCs w:val="20"/>
              </w:rPr>
              <w:t>Monthly calls</w:t>
            </w:r>
          </w:p>
        </w:tc>
        <w:tc>
          <w:tcPr>
            <w:tcW w:w="3573" w:type="dxa"/>
          </w:tcPr>
          <w:p w:rsidR="00145B28" w:rsidRPr="00745668" w:rsidRDefault="00E06B46" w:rsidP="00145B28">
            <w:pPr>
              <w:numPr>
                <w:ilvl w:val="0"/>
                <w:numId w:val="14"/>
              </w:numPr>
              <w:rPr>
                <w:rFonts w:ascii="Calibri" w:hAnsi="Calibri"/>
                <w:sz w:val="20"/>
                <w:szCs w:val="20"/>
              </w:rPr>
            </w:pPr>
            <w:r w:rsidRPr="00745668">
              <w:rPr>
                <w:rFonts w:ascii="Calibri" w:hAnsi="Calibri"/>
                <w:sz w:val="20"/>
                <w:szCs w:val="20"/>
              </w:rPr>
              <w:t>Final PER monitoring</w:t>
            </w:r>
          </w:p>
        </w:tc>
      </w:tr>
      <w:tr w:rsidR="00E06B46" w:rsidRPr="00745668" w:rsidTr="00145B28">
        <w:trPr>
          <w:trHeight w:val="271"/>
        </w:trPr>
        <w:tc>
          <w:tcPr>
            <w:tcW w:w="3600" w:type="dxa"/>
          </w:tcPr>
          <w:p w:rsidR="00E06B46" w:rsidRPr="00745668" w:rsidRDefault="00E06B46" w:rsidP="00E06B46">
            <w:pPr>
              <w:numPr>
                <w:ilvl w:val="0"/>
                <w:numId w:val="14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Fiscal readiness</w:t>
            </w:r>
            <w:r w:rsidRPr="00745668">
              <w:rPr>
                <w:rFonts w:ascii="Calibri" w:hAnsi="Calibri"/>
                <w:sz w:val="20"/>
                <w:szCs w:val="20"/>
              </w:rPr>
              <w:t xml:space="preserve"> review</w:t>
            </w:r>
          </w:p>
        </w:tc>
        <w:tc>
          <w:tcPr>
            <w:tcW w:w="2880" w:type="dxa"/>
          </w:tcPr>
          <w:p w:rsidR="00E06B46" w:rsidRPr="00745668" w:rsidRDefault="00E06B46" w:rsidP="00145B28">
            <w:pPr>
              <w:numPr>
                <w:ilvl w:val="0"/>
                <w:numId w:val="14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Audit review</w:t>
            </w:r>
          </w:p>
        </w:tc>
        <w:tc>
          <w:tcPr>
            <w:tcW w:w="3573" w:type="dxa"/>
          </w:tcPr>
          <w:p w:rsidR="00E06B46" w:rsidRPr="00745668" w:rsidRDefault="00E06B46" w:rsidP="00145B28">
            <w:pPr>
              <w:numPr>
                <w:ilvl w:val="0"/>
                <w:numId w:val="14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Random sampling</w:t>
            </w:r>
          </w:p>
        </w:tc>
      </w:tr>
      <w:tr w:rsidR="00145B28" w:rsidRPr="00745668" w:rsidTr="00145B28">
        <w:trPr>
          <w:trHeight w:val="287"/>
        </w:trPr>
        <w:tc>
          <w:tcPr>
            <w:tcW w:w="3600" w:type="dxa"/>
          </w:tcPr>
          <w:p w:rsidR="00145B28" w:rsidRPr="00745668" w:rsidRDefault="00E06B46" w:rsidP="00145B28">
            <w:pPr>
              <w:numPr>
                <w:ilvl w:val="0"/>
                <w:numId w:val="14"/>
              </w:numPr>
              <w:rPr>
                <w:rFonts w:ascii="Calibri" w:hAnsi="Calibri"/>
                <w:sz w:val="20"/>
                <w:szCs w:val="20"/>
              </w:rPr>
            </w:pPr>
            <w:r w:rsidRPr="00745668">
              <w:rPr>
                <w:rFonts w:ascii="Calibri" w:hAnsi="Calibri"/>
                <w:sz w:val="20"/>
                <w:szCs w:val="20"/>
              </w:rPr>
              <w:t>PER processing review</w:t>
            </w:r>
          </w:p>
        </w:tc>
        <w:tc>
          <w:tcPr>
            <w:tcW w:w="2880" w:type="dxa"/>
          </w:tcPr>
          <w:p w:rsidR="00145B28" w:rsidRPr="00745668" w:rsidRDefault="00E06B46" w:rsidP="00145B28">
            <w:pPr>
              <w:numPr>
                <w:ilvl w:val="0"/>
                <w:numId w:val="14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Site visits</w:t>
            </w:r>
          </w:p>
        </w:tc>
        <w:tc>
          <w:tcPr>
            <w:tcW w:w="3573" w:type="dxa"/>
          </w:tcPr>
          <w:p w:rsidR="00145B28" w:rsidRPr="00745668" w:rsidRDefault="00145B28" w:rsidP="00145B28">
            <w:pPr>
              <w:numPr>
                <w:ilvl w:val="0"/>
                <w:numId w:val="14"/>
              </w:numPr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145B28" w:rsidRDefault="00145B28" w:rsidP="00CB2CDC">
      <w:pPr>
        <w:rPr>
          <w:rFonts w:asciiTheme="minorHAnsi" w:hAnsiTheme="minorHAnsi" w:cs="Arial"/>
          <w:sz w:val="22"/>
          <w:szCs w:val="22"/>
        </w:rPr>
      </w:pPr>
    </w:p>
    <w:p w:rsidR="00145B28" w:rsidRPr="00501DEA" w:rsidRDefault="00145B28" w:rsidP="00CB2CDC">
      <w:pPr>
        <w:rPr>
          <w:rFonts w:asciiTheme="minorHAnsi" w:hAnsiTheme="minorHAnsi" w:cs="Arial"/>
          <w:sz w:val="22"/>
          <w:szCs w:val="22"/>
        </w:rPr>
      </w:pPr>
    </w:p>
    <w:tbl>
      <w:tblPr>
        <w:tblW w:w="9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8"/>
        <w:gridCol w:w="5040"/>
        <w:gridCol w:w="2160"/>
      </w:tblGrid>
      <w:tr w:rsidR="003009D1" w:rsidRPr="00745668" w:rsidTr="003009D1">
        <w:tc>
          <w:tcPr>
            <w:tcW w:w="1818" w:type="dxa"/>
            <w:shd w:val="clear" w:color="auto" w:fill="D9D9D9"/>
          </w:tcPr>
          <w:p w:rsidR="003009D1" w:rsidRPr="00745668" w:rsidRDefault="003009D1" w:rsidP="00145B28">
            <w:pPr>
              <w:jc w:val="center"/>
              <w:rPr>
                <w:rFonts w:ascii="Calibri" w:hAnsi="Calibri"/>
                <w:b/>
                <w:szCs w:val="20"/>
              </w:rPr>
            </w:pPr>
            <w:r w:rsidRPr="00745668">
              <w:rPr>
                <w:rFonts w:ascii="Calibri" w:hAnsi="Calibri"/>
                <w:b/>
                <w:sz w:val="22"/>
                <w:szCs w:val="20"/>
              </w:rPr>
              <w:t>PROCESS</w:t>
            </w:r>
          </w:p>
        </w:tc>
        <w:tc>
          <w:tcPr>
            <w:tcW w:w="5040" w:type="dxa"/>
            <w:shd w:val="clear" w:color="auto" w:fill="D9D9D9"/>
          </w:tcPr>
          <w:p w:rsidR="003009D1" w:rsidRPr="00745668" w:rsidRDefault="003009D1" w:rsidP="00145B28">
            <w:pPr>
              <w:jc w:val="center"/>
              <w:rPr>
                <w:rFonts w:ascii="Calibri" w:hAnsi="Calibri"/>
                <w:b/>
                <w:szCs w:val="20"/>
              </w:rPr>
            </w:pPr>
            <w:r w:rsidRPr="00745668">
              <w:rPr>
                <w:rFonts w:ascii="Calibri" w:hAnsi="Calibri"/>
                <w:b/>
                <w:sz w:val="22"/>
                <w:szCs w:val="20"/>
              </w:rPr>
              <w:t>COMPONENTS</w:t>
            </w:r>
          </w:p>
        </w:tc>
        <w:tc>
          <w:tcPr>
            <w:tcW w:w="2160" w:type="dxa"/>
            <w:shd w:val="clear" w:color="auto" w:fill="D9D9D9"/>
          </w:tcPr>
          <w:p w:rsidR="003009D1" w:rsidRPr="00745668" w:rsidRDefault="003009D1" w:rsidP="00145B28">
            <w:pPr>
              <w:jc w:val="center"/>
              <w:rPr>
                <w:rFonts w:ascii="Calibri" w:hAnsi="Calibri"/>
                <w:b/>
                <w:szCs w:val="20"/>
              </w:rPr>
            </w:pPr>
            <w:r w:rsidRPr="00745668">
              <w:rPr>
                <w:rFonts w:ascii="Calibri" w:hAnsi="Calibri"/>
                <w:b/>
                <w:sz w:val="22"/>
                <w:szCs w:val="20"/>
              </w:rPr>
              <w:t>WHO RECEIVES IT</w:t>
            </w:r>
          </w:p>
        </w:tc>
      </w:tr>
      <w:tr w:rsidR="003009D1" w:rsidRPr="00745668" w:rsidTr="003009D1">
        <w:tc>
          <w:tcPr>
            <w:tcW w:w="1818" w:type="dxa"/>
          </w:tcPr>
          <w:p w:rsidR="00E06B46" w:rsidRDefault="00E06B46" w:rsidP="00145B28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PORTFOLIO</w:t>
            </w:r>
          </w:p>
          <w:p w:rsidR="003009D1" w:rsidRPr="00745668" w:rsidRDefault="003009D1" w:rsidP="00145B28">
            <w:pPr>
              <w:rPr>
                <w:rFonts w:ascii="Calibri" w:hAnsi="Calibri"/>
                <w:b/>
                <w:sz w:val="20"/>
                <w:szCs w:val="20"/>
              </w:rPr>
            </w:pPr>
            <w:r w:rsidRPr="00745668">
              <w:rPr>
                <w:rFonts w:ascii="Calibri" w:hAnsi="Calibri"/>
                <w:b/>
                <w:sz w:val="20"/>
                <w:szCs w:val="20"/>
              </w:rPr>
              <w:t>RISK ASSESSMENT</w:t>
            </w:r>
          </w:p>
        </w:tc>
        <w:tc>
          <w:tcPr>
            <w:tcW w:w="5040" w:type="dxa"/>
          </w:tcPr>
          <w:p w:rsidR="003009D1" w:rsidRDefault="003009D1" w:rsidP="00145B28">
            <w:pPr>
              <w:numPr>
                <w:ilvl w:val="0"/>
                <w:numId w:val="15"/>
              </w:numPr>
              <w:rPr>
                <w:rFonts w:ascii="Calibri" w:hAnsi="Calibri"/>
                <w:sz w:val="20"/>
                <w:szCs w:val="20"/>
              </w:rPr>
            </w:pPr>
            <w:r w:rsidRPr="00745668">
              <w:rPr>
                <w:rFonts w:ascii="Calibri" w:hAnsi="Calibri"/>
                <w:sz w:val="20"/>
                <w:szCs w:val="20"/>
              </w:rPr>
              <w:t>Portfolio risk assessment is conducted twice a year</w:t>
            </w:r>
          </w:p>
          <w:p w:rsidR="002F7F94" w:rsidRDefault="002F7F94" w:rsidP="00145B28">
            <w:pPr>
              <w:numPr>
                <w:ilvl w:val="0"/>
                <w:numId w:val="15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Designed to assess sub-grantees on the basis of inherent, fiscal readiness and on-going risks</w:t>
            </w:r>
          </w:p>
          <w:p w:rsidR="002F7F94" w:rsidRPr="00745668" w:rsidRDefault="002F7F94" w:rsidP="00145B28">
            <w:pPr>
              <w:numPr>
                <w:ilvl w:val="0"/>
                <w:numId w:val="15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Informs the portfolio monitoring plan</w:t>
            </w:r>
          </w:p>
        </w:tc>
        <w:tc>
          <w:tcPr>
            <w:tcW w:w="2160" w:type="dxa"/>
            <w:vAlign w:val="center"/>
          </w:tcPr>
          <w:p w:rsidR="003009D1" w:rsidRPr="00745668" w:rsidRDefault="003009D1" w:rsidP="00145B28">
            <w:pPr>
              <w:rPr>
                <w:rFonts w:ascii="Calibri" w:hAnsi="Calibri"/>
                <w:sz w:val="20"/>
                <w:szCs w:val="20"/>
              </w:rPr>
            </w:pPr>
            <w:r w:rsidRPr="00745668">
              <w:rPr>
                <w:rFonts w:ascii="Calibri" w:hAnsi="Calibri"/>
                <w:b/>
                <w:color w:val="C0504D"/>
                <w:sz w:val="20"/>
                <w:szCs w:val="20"/>
              </w:rPr>
              <w:t>*REQUIRED*</w:t>
            </w:r>
            <w:r w:rsidRPr="00745668">
              <w:rPr>
                <w:rFonts w:ascii="Calibri" w:hAnsi="Calibri"/>
                <w:sz w:val="20"/>
                <w:szCs w:val="20"/>
              </w:rPr>
              <w:t xml:space="preserve"> All sub-grantees are included in the portfolio risk assessment.</w:t>
            </w:r>
          </w:p>
          <w:p w:rsidR="003009D1" w:rsidRPr="00745668" w:rsidRDefault="003009D1" w:rsidP="00145B28">
            <w:pPr>
              <w:rPr>
                <w:rFonts w:ascii="Calibri" w:hAnsi="Calibri"/>
                <w:b/>
                <w:color w:val="C0504D"/>
                <w:sz w:val="20"/>
                <w:szCs w:val="20"/>
              </w:rPr>
            </w:pPr>
          </w:p>
        </w:tc>
      </w:tr>
      <w:tr w:rsidR="00E06B46" w:rsidRPr="00745668" w:rsidTr="003009D1">
        <w:tc>
          <w:tcPr>
            <w:tcW w:w="1818" w:type="dxa"/>
          </w:tcPr>
          <w:p w:rsidR="00E06B46" w:rsidRPr="00745668" w:rsidRDefault="00E06B46" w:rsidP="001F3060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FISCAL READINESS REVIEW</w:t>
            </w:r>
          </w:p>
        </w:tc>
        <w:tc>
          <w:tcPr>
            <w:tcW w:w="5040" w:type="dxa"/>
          </w:tcPr>
          <w:p w:rsidR="00E06B46" w:rsidRPr="00745668" w:rsidRDefault="00E06B46" w:rsidP="001F3060">
            <w:pPr>
              <w:numPr>
                <w:ilvl w:val="0"/>
                <w:numId w:val="15"/>
              </w:numPr>
              <w:rPr>
                <w:rFonts w:ascii="Calibri" w:hAnsi="Calibri"/>
                <w:sz w:val="20"/>
                <w:szCs w:val="20"/>
              </w:rPr>
            </w:pPr>
            <w:r w:rsidRPr="00745668">
              <w:rPr>
                <w:rFonts w:ascii="Calibri" w:hAnsi="Calibri"/>
                <w:sz w:val="20"/>
                <w:szCs w:val="20"/>
              </w:rPr>
              <w:t>Review of fiscal policies and procedures to identify any red flags in systems</w:t>
            </w:r>
          </w:p>
          <w:p w:rsidR="00E06B46" w:rsidRPr="00745668" w:rsidRDefault="00E06B46" w:rsidP="001F3060">
            <w:pPr>
              <w:numPr>
                <w:ilvl w:val="0"/>
                <w:numId w:val="15"/>
              </w:numPr>
              <w:rPr>
                <w:rFonts w:ascii="Calibri" w:hAnsi="Calibri"/>
                <w:sz w:val="20"/>
                <w:szCs w:val="20"/>
              </w:rPr>
            </w:pPr>
            <w:r w:rsidRPr="00745668">
              <w:rPr>
                <w:rFonts w:ascii="Calibri" w:hAnsi="Calibri"/>
                <w:sz w:val="20"/>
                <w:szCs w:val="20"/>
              </w:rPr>
              <w:t>Review of cost allocation plan and indirect cost rate (if applicable)</w:t>
            </w:r>
          </w:p>
          <w:p w:rsidR="00E06B46" w:rsidRPr="00745668" w:rsidRDefault="00E06B46" w:rsidP="001F3060">
            <w:pPr>
              <w:numPr>
                <w:ilvl w:val="0"/>
                <w:numId w:val="15"/>
              </w:numPr>
              <w:rPr>
                <w:rFonts w:ascii="Calibri" w:hAnsi="Calibri"/>
                <w:sz w:val="20"/>
                <w:szCs w:val="20"/>
              </w:rPr>
            </w:pPr>
            <w:r w:rsidRPr="00745668">
              <w:rPr>
                <w:rFonts w:ascii="Calibri" w:hAnsi="Calibri"/>
                <w:sz w:val="20"/>
                <w:szCs w:val="20"/>
              </w:rPr>
              <w:t>Review separation of duties</w:t>
            </w:r>
          </w:p>
          <w:p w:rsidR="00E06B46" w:rsidRPr="00745668" w:rsidRDefault="00E06B46" w:rsidP="001F3060">
            <w:pPr>
              <w:numPr>
                <w:ilvl w:val="0"/>
                <w:numId w:val="15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Review</w:t>
            </w:r>
            <w:r w:rsidRPr="00745668">
              <w:rPr>
                <w:rFonts w:ascii="Calibri" w:hAnsi="Calibri"/>
                <w:sz w:val="20"/>
                <w:szCs w:val="20"/>
              </w:rPr>
              <w:t xml:space="preserve"> job descriptions of staff charged to the AmeriCorps grant</w:t>
            </w:r>
          </w:p>
          <w:p w:rsidR="00E06B46" w:rsidRPr="00745668" w:rsidRDefault="00E06B46" w:rsidP="001F3060">
            <w:pPr>
              <w:numPr>
                <w:ilvl w:val="0"/>
                <w:numId w:val="15"/>
              </w:numPr>
              <w:rPr>
                <w:rFonts w:ascii="Calibri" w:hAnsi="Calibri"/>
                <w:sz w:val="20"/>
                <w:szCs w:val="20"/>
              </w:rPr>
            </w:pPr>
            <w:r w:rsidRPr="00745668">
              <w:rPr>
                <w:rFonts w:ascii="Calibri" w:hAnsi="Calibri"/>
                <w:sz w:val="20"/>
                <w:szCs w:val="20"/>
              </w:rPr>
              <w:t>Review IRS 990</w:t>
            </w:r>
          </w:p>
          <w:p w:rsidR="00E06B46" w:rsidRDefault="00E06B46" w:rsidP="001F3060">
            <w:pPr>
              <w:numPr>
                <w:ilvl w:val="0"/>
                <w:numId w:val="15"/>
              </w:numPr>
              <w:rPr>
                <w:rFonts w:ascii="Calibri" w:hAnsi="Calibri"/>
                <w:sz w:val="20"/>
                <w:szCs w:val="20"/>
              </w:rPr>
            </w:pPr>
            <w:r w:rsidRPr="00745668">
              <w:rPr>
                <w:rFonts w:ascii="Calibri" w:hAnsi="Calibri"/>
                <w:sz w:val="20"/>
                <w:szCs w:val="20"/>
              </w:rPr>
              <w:t>Review organizational capacity survey updates</w:t>
            </w:r>
          </w:p>
          <w:p w:rsidR="008C39DD" w:rsidRDefault="008C39DD" w:rsidP="008C39DD">
            <w:pPr>
              <w:numPr>
                <w:ilvl w:val="0"/>
                <w:numId w:val="15"/>
              </w:numPr>
              <w:rPr>
                <w:rFonts w:ascii="Calibri" w:hAnsi="Calibri"/>
                <w:sz w:val="20"/>
                <w:szCs w:val="20"/>
              </w:rPr>
            </w:pPr>
            <w:r w:rsidRPr="00745668">
              <w:rPr>
                <w:rFonts w:ascii="Calibri" w:hAnsi="Calibri"/>
                <w:sz w:val="20"/>
                <w:szCs w:val="20"/>
              </w:rPr>
              <w:t xml:space="preserve">Audit review (see </w:t>
            </w:r>
            <w:r>
              <w:rPr>
                <w:rFonts w:ascii="Calibri" w:hAnsi="Calibri"/>
                <w:sz w:val="20"/>
                <w:szCs w:val="20"/>
              </w:rPr>
              <w:t>“</w:t>
            </w:r>
            <w:r w:rsidRPr="00745668">
              <w:rPr>
                <w:rFonts w:ascii="Calibri" w:hAnsi="Calibri"/>
                <w:sz w:val="20"/>
                <w:szCs w:val="20"/>
              </w:rPr>
              <w:t>Audit</w:t>
            </w:r>
            <w:r>
              <w:rPr>
                <w:rFonts w:ascii="Calibri" w:hAnsi="Calibri"/>
                <w:sz w:val="20"/>
                <w:szCs w:val="20"/>
              </w:rPr>
              <w:t xml:space="preserve"> review” below</w:t>
            </w:r>
            <w:r w:rsidRPr="00745668">
              <w:rPr>
                <w:rFonts w:ascii="Calibri" w:hAnsi="Calibri"/>
                <w:sz w:val="20"/>
                <w:szCs w:val="20"/>
              </w:rPr>
              <w:t xml:space="preserve"> for detail</w:t>
            </w:r>
            <w:r>
              <w:rPr>
                <w:rFonts w:ascii="Calibri" w:hAnsi="Calibri"/>
                <w:sz w:val="20"/>
                <w:szCs w:val="20"/>
              </w:rPr>
              <w:t>s</w:t>
            </w:r>
            <w:r w:rsidRPr="00745668">
              <w:rPr>
                <w:rFonts w:ascii="Calibri" w:hAnsi="Calibri"/>
                <w:sz w:val="20"/>
                <w:szCs w:val="20"/>
              </w:rPr>
              <w:t>)</w:t>
            </w:r>
          </w:p>
          <w:p w:rsidR="008C39DD" w:rsidRPr="008C39DD" w:rsidRDefault="008C39DD" w:rsidP="008C39DD">
            <w:pPr>
              <w:ind w:left="36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E06B46" w:rsidRPr="00745668" w:rsidRDefault="00E06B46" w:rsidP="001F3060">
            <w:pPr>
              <w:rPr>
                <w:rFonts w:ascii="Calibri" w:hAnsi="Calibri"/>
                <w:sz w:val="20"/>
                <w:szCs w:val="20"/>
              </w:rPr>
            </w:pPr>
            <w:r w:rsidRPr="00745668">
              <w:rPr>
                <w:rFonts w:ascii="Calibri" w:hAnsi="Calibri"/>
                <w:b/>
                <w:color w:val="C0504D"/>
                <w:sz w:val="20"/>
                <w:szCs w:val="20"/>
              </w:rPr>
              <w:t>*REQUIRED*</w:t>
            </w:r>
            <w:r w:rsidRPr="00745668">
              <w:rPr>
                <w:rFonts w:ascii="Calibri" w:hAnsi="Calibri"/>
                <w:sz w:val="20"/>
                <w:szCs w:val="20"/>
              </w:rPr>
              <w:t xml:space="preserve"> All sub-grantees receive a </w:t>
            </w:r>
            <w:r>
              <w:rPr>
                <w:rFonts w:ascii="Calibri" w:hAnsi="Calibri"/>
                <w:sz w:val="20"/>
                <w:szCs w:val="20"/>
              </w:rPr>
              <w:t>Fiscal Readiness Review</w:t>
            </w:r>
            <w:r w:rsidRPr="00745668">
              <w:rPr>
                <w:rFonts w:ascii="Calibri" w:hAnsi="Calibri"/>
                <w:sz w:val="20"/>
                <w:szCs w:val="20"/>
              </w:rPr>
              <w:t xml:space="preserve"> annually. </w:t>
            </w:r>
          </w:p>
          <w:p w:rsidR="00E06B46" w:rsidRPr="00745668" w:rsidRDefault="00E06B46" w:rsidP="001F3060">
            <w:pPr>
              <w:rPr>
                <w:rFonts w:ascii="Calibri" w:hAnsi="Calibri"/>
                <w:sz w:val="20"/>
                <w:szCs w:val="20"/>
              </w:rPr>
            </w:pPr>
          </w:p>
          <w:p w:rsidR="00E06B46" w:rsidRPr="00745668" w:rsidRDefault="00E06B46" w:rsidP="001F306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Components of the assessment</w:t>
            </w:r>
            <w:r w:rsidRPr="00745668">
              <w:rPr>
                <w:rFonts w:ascii="Calibri" w:hAnsi="Calibri"/>
                <w:sz w:val="20"/>
                <w:szCs w:val="20"/>
              </w:rPr>
              <w:t xml:space="preserve"> may be reviewed during the year if the need arises.</w:t>
            </w:r>
          </w:p>
          <w:p w:rsidR="00E06B46" w:rsidRPr="00745668" w:rsidRDefault="00E06B46" w:rsidP="001F3060">
            <w:pPr>
              <w:rPr>
                <w:rFonts w:ascii="Calibri" w:hAnsi="Calibri"/>
                <w:sz w:val="20"/>
                <w:szCs w:val="20"/>
                <w:highlight w:val="yellow"/>
              </w:rPr>
            </w:pPr>
          </w:p>
        </w:tc>
      </w:tr>
      <w:tr w:rsidR="00E06B46" w:rsidRPr="00745668" w:rsidTr="003009D1">
        <w:tc>
          <w:tcPr>
            <w:tcW w:w="1818" w:type="dxa"/>
          </w:tcPr>
          <w:p w:rsidR="00E06B46" w:rsidRPr="00745668" w:rsidRDefault="00E06B46" w:rsidP="001F3060">
            <w:pPr>
              <w:rPr>
                <w:rFonts w:ascii="Calibri" w:hAnsi="Calibri"/>
                <w:b/>
                <w:sz w:val="20"/>
                <w:szCs w:val="20"/>
              </w:rPr>
            </w:pPr>
            <w:r w:rsidRPr="00745668">
              <w:rPr>
                <w:rFonts w:ascii="Calibri" w:hAnsi="Calibri"/>
                <w:b/>
                <w:sz w:val="20"/>
                <w:szCs w:val="20"/>
              </w:rPr>
              <w:t>PER PROCESSING REVIEW</w:t>
            </w:r>
          </w:p>
        </w:tc>
        <w:tc>
          <w:tcPr>
            <w:tcW w:w="5040" w:type="dxa"/>
          </w:tcPr>
          <w:p w:rsidR="00E06B46" w:rsidRPr="00745668" w:rsidRDefault="00E06B46" w:rsidP="001F3060">
            <w:pPr>
              <w:numPr>
                <w:ilvl w:val="0"/>
                <w:numId w:val="15"/>
              </w:numPr>
              <w:rPr>
                <w:rFonts w:ascii="Calibri" w:hAnsi="Calibri"/>
                <w:sz w:val="20"/>
                <w:szCs w:val="20"/>
              </w:rPr>
            </w:pPr>
            <w:r w:rsidRPr="00745668">
              <w:rPr>
                <w:rFonts w:ascii="Calibri" w:hAnsi="Calibri"/>
                <w:sz w:val="20"/>
                <w:szCs w:val="20"/>
              </w:rPr>
              <w:t>Ensure dates of PER are within budget period and that they are in consecutive order</w:t>
            </w:r>
          </w:p>
          <w:p w:rsidR="00E06B46" w:rsidRDefault="00E06B46" w:rsidP="001F3060">
            <w:pPr>
              <w:numPr>
                <w:ilvl w:val="0"/>
                <w:numId w:val="15"/>
              </w:numPr>
              <w:rPr>
                <w:rFonts w:ascii="Calibri" w:hAnsi="Calibri"/>
                <w:sz w:val="20"/>
                <w:szCs w:val="20"/>
              </w:rPr>
            </w:pPr>
            <w:r w:rsidRPr="00745668">
              <w:rPr>
                <w:rFonts w:ascii="Calibri" w:hAnsi="Calibri"/>
                <w:sz w:val="20"/>
                <w:szCs w:val="20"/>
              </w:rPr>
              <w:t>Review expenditure</w:t>
            </w:r>
            <w:r>
              <w:rPr>
                <w:rFonts w:ascii="Calibri" w:hAnsi="Calibri"/>
                <w:sz w:val="20"/>
                <w:szCs w:val="20"/>
              </w:rPr>
              <w:t>s</w:t>
            </w:r>
            <w:r w:rsidRPr="00745668">
              <w:rPr>
                <w:rFonts w:ascii="Calibri" w:hAnsi="Calibri"/>
                <w:sz w:val="20"/>
                <w:szCs w:val="20"/>
              </w:rPr>
              <w:t xml:space="preserve"> to ensure </w:t>
            </w:r>
            <w:r>
              <w:rPr>
                <w:rFonts w:ascii="Calibri" w:hAnsi="Calibri"/>
                <w:sz w:val="20"/>
                <w:szCs w:val="20"/>
              </w:rPr>
              <w:t xml:space="preserve">that they are </w:t>
            </w:r>
            <w:r w:rsidRPr="00745668">
              <w:rPr>
                <w:rFonts w:ascii="Calibri" w:hAnsi="Calibri"/>
                <w:sz w:val="20"/>
                <w:szCs w:val="20"/>
              </w:rPr>
              <w:t>within variance allowance and budgeted amounts (including de-obligation)</w:t>
            </w:r>
          </w:p>
          <w:p w:rsidR="00AD4747" w:rsidRDefault="00AD4747" w:rsidP="001F3060">
            <w:pPr>
              <w:numPr>
                <w:ilvl w:val="0"/>
                <w:numId w:val="15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Review for mathematical accuracy. </w:t>
            </w:r>
          </w:p>
          <w:p w:rsidR="00AD4747" w:rsidRPr="00745668" w:rsidRDefault="00AD4747" w:rsidP="001F3060">
            <w:pPr>
              <w:numPr>
                <w:ilvl w:val="0"/>
                <w:numId w:val="15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Ensure compliance with the Commission Fixed Amount administrative requirement.</w:t>
            </w:r>
          </w:p>
          <w:p w:rsidR="00E06B46" w:rsidRDefault="00E06B46" w:rsidP="001F3060">
            <w:pPr>
              <w:numPr>
                <w:ilvl w:val="0"/>
                <w:numId w:val="15"/>
              </w:numPr>
              <w:rPr>
                <w:rFonts w:ascii="Calibri" w:hAnsi="Calibri"/>
                <w:sz w:val="20"/>
                <w:szCs w:val="20"/>
              </w:rPr>
            </w:pPr>
            <w:r w:rsidRPr="00745668">
              <w:rPr>
                <w:rFonts w:ascii="Calibri" w:hAnsi="Calibri"/>
                <w:sz w:val="20"/>
                <w:szCs w:val="20"/>
              </w:rPr>
              <w:t>Identify any trends that may need follow up</w:t>
            </w:r>
          </w:p>
          <w:p w:rsidR="008C39DD" w:rsidRPr="00745668" w:rsidRDefault="008C39DD" w:rsidP="008C39DD">
            <w:pPr>
              <w:ind w:left="36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E06B46" w:rsidRPr="00745668" w:rsidRDefault="00E06B46" w:rsidP="001F3060">
            <w:pPr>
              <w:rPr>
                <w:rFonts w:ascii="Calibri" w:hAnsi="Calibri"/>
                <w:sz w:val="20"/>
                <w:szCs w:val="20"/>
              </w:rPr>
            </w:pPr>
            <w:r w:rsidRPr="00745668">
              <w:rPr>
                <w:rFonts w:ascii="Calibri" w:hAnsi="Calibri"/>
                <w:b/>
                <w:color w:val="C0504D"/>
                <w:sz w:val="20"/>
                <w:szCs w:val="20"/>
              </w:rPr>
              <w:t>*REQUIRED*</w:t>
            </w:r>
            <w:r w:rsidRPr="00745668">
              <w:rPr>
                <w:rFonts w:ascii="Calibri" w:hAnsi="Calibri"/>
                <w:sz w:val="20"/>
                <w:szCs w:val="20"/>
              </w:rPr>
              <w:t xml:space="preserve"> Each PER submitted by sub-grantees is reviewed in this manner.  </w:t>
            </w:r>
          </w:p>
          <w:p w:rsidR="00E06B46" w:rsidRPr="00745668" w:rsidRDefault="00E06B46" w:rsidP="001F3060">
            <w:pPr>
              <w:rPr>
                <w:rFonts w:ascii="Calibri" w:hAnsi="Calibri"/>
                <w:b/>
                <w:color w:val="C0504D"/>
                <w:sz w:val="20"/>
                <w:szCs w:val="20"/>
              </w:rPr>
            </w:pPr>
          </w:p>
        </w:tc>
      </w:tr>
      <w:tr w:rsidR="00E06B46" w:rsidRPr="00745668" w:rsidTr="003009D1">
        <w:tc>
          <w:tcPr>
            <w:tcW w:w="1818" w:type="dxa"/>
          </w:tcPr>
          <w:p w:rsidR="00E06B46" w:rsidRPr="00745668" w:rsidRDefault="00E06B46" w:rsidP="00145B28">
            <w:pPr>
              <w:rPr>
                <w:rFonts w:ascii="Calibri" w:hAnsi="Calibri"/>
                <w:b/>
                <w:sz w:val="20"/>
                <w:szCs w:val="20"/>
              </w:rPr>
            </w:pPr>
            <w:r w:rsidRPr="00745668">
              <w:rPr>
                <w:rFonts w:ascii="Calibri" w:hAnsi="Calibri"/>
                <w:b/>
                <w:sz w:val="20"/>
                <w:szCs w:val="20"/>
              </w:rPr>
              <w:lastRenderedPageBreak/>
              <w:t>MONTHLY CALLS</w:t>
            </w:r>
          </w:p>
        </w:tc>
        <w:tc>
          <w:tcPr>
            <w:tcW w:w="5040" w:type="dxa"/>
          </w:tcPr>
          <w:p w:rsidR="00E06B46" w:rsidRPr="00745668" w:rsidRDefault="00E06B46" w:rsidP="00145B28">
            <w:pPr>
              <w:numPr>
                <w:ilvl w:val="0"/>
                <w:numId w:val="15"/>
              </w:numPr>
              <w:rPr>
                <w:rFonts w:ascii="Calibri" w:hAnsi="Calibri"/>
                <w:sz w:val="20"/>
                <w:szCs w:val="20"/>
              </w:rPr>
            </w:pPr>
            <w:r w:rsidRPr="00745668">
              <w:rPr>
                <w:rFonts w:ascii="Calibri" w:hAnsi="Calibri"/>
                <w:sz w:val="20"/>
                <w:szCs w:val="20"/>
              </w:rPr>
              <w:t>Phone conversations used to discuss any issues, keep current of sub-grantee activities, and ensure consistent communication</w:t>
            </w:r>
          </w:p>
        </w:tc>
        <w:tc>
          <w:tcPr>
            <w:tcW w:w="2160" w:type="dxa"/>
            <w:vAlign w:val="center"/>
          </w:tcPr>
          <w:p w:rsidR="00E06B46" w:rsidRPr="00E06B46" w:rsidRDefault="00E06B46" w:rsidP="00145B28">
            <w:pPr>
              <w:rPr>
                <w:rFonts w:ascii="Calibri" w:hAnsi="Calibri"/>
                <w:sz w:val="20"/>
                <w:szCs w:val="20"/>
              </w:rPr>
            </w:pPr>
            <w:r w:rsidRPr="00745668">
              <w:rPr>
                <w:rFonts w:ascii="Calibri" w:hAnsi="Calibri"/>
                <w:b/>
                <w:color w:val="C0504D"/>
                <w:sz w:val="20"/>
                <w:szCs w:val="20"/>
              </w:rPr>
              <w:t>*REQUIRED*</w:t>
            </w:r>
            <w:r w:rsidRPr="00745668">
              <w:rPr>
                <w:rFonts w:ascii="Calibri" w:hAnsi="Calibri"/>
                <w:sz w:val="20"/>
                <w:szCs w:val="20"/>
              </w:rPr>
              <w:t xml:space="preserve"> All sub-grantees receive monthly calls</w:t>
            </w:r>
          </w:p>
        </w:tc>
      </w:tr>
      <w:tr w:rsidR="00E06B46" w:rsidRPr="00745668" w:rsidTr="003009D1">
        <w:tc>
          <w:tcPr>
            <w:tcW w:w="1818" w:type="dxa"/>
          </w:tcPr>
          <w:p w:rsidR="00E06B46" w:rsidRPr="00745668" w:rsidRDefault="00E06B46" w:rsidP="001F3060">
            <w:pPr>
              <w:rPr>
                <w:rFonts w:ascii="Calibri" w:hAnsi="Calibri"/>
                <w:b/>
                <w:sz w:val="20"/>
                <w:szCs w:val="20"/>
              </w:rPr>
            </w:pPr>
            <w:r w:rsidRPr="00745668">
              <w:rPr>
                <w:rFonts w:ascii="Calibri" w:hAnsi="Calibri"/>
                <w:b/>
                <w:sz w:val="20"/>
                <w:szCs w:val="20"/>
              </w:rPr>
              <w:t xml:space="preserve">AUDIT REVIEW </w:t>
            </w:r>
          </w:p>
          <w:p w:rsidR="00E06B46" w:rsidRPr="00745668" w:rsidRDefault="00E06B46" w:rsidP="001F3060">
            <w:pPr>
              <w:rPr>
                <w:rFonts w:ascii="Calibri" w:hAnsi="Calibri"/>
                <w:b/>
                <w:sz w:val="20"/>
                <w:szCs w:val="20"/>
              </w:rPr>
            </w:pPr>
            <w:r w:rsidRPr="00745668">
              <w:rPr>
                <w:rFonts w:ascii="Calibri" w:hAnsi="Calibri"/>
                <w:b/>
                <w:sz w:val="20"/>
                <w:szCs w:val="20"/>
              </w:rPr>
              <w:t>(A-133 or Independent Financial Audit)</w:t>
            </w:r>
          </w:p>
        </w:tc>
        <w:tc>
          <w:tcPr>
            <w:tcW w:w="5040" w:type="dxa"/>
          </w:tcPr>
          <w:p w:rsidR="00E06B46" w:rsidRPr="00745668" w:rsidRDefault="00E06B46" w:rsidP="001F3060">
            <w:pPr>
              <w:numPr>
                <w:ilvl w:val="0"/>
                <w:numId w:val="15"/>
              </w:numPr>
              <w:rPr>
                <w:rFonts w:ascii="Calibri" w:hAnsi="Calibri"/>
                <w:sz w:val="20"/>
                <w:szCs w:val="20"/>
              </w:rPr>
            </w:pPr>
            <w:r w:rsidRPr="00745668">
              <w:rPr>
                <w:rFonts w:ascii="Calibri" w:hAnsi="Calibri"/>
                <w:sz w:val="20"/>
                <w:szCs w:val="20"/>
              </w:rPr>
              <w:t>Review schedule of Federal awards</w:t>
            </w:r>
          </w:p>
          <w:p w:rsidR="00E06B46" w:rsidRPr="00745668" w:rsidRDefault="00E06B46" w:rsidP="001F3060">
            <w:pPr>
              <w:numPr>
                <w:ilvl w:val="0"/>
                <w:numId w:val="15"/>
              </w:numPr>
              <w:rPr>
                <w:rFonts w:ascii="Calibri" w:hAnsi="Calibri"/>
                <w:sz w:val="20"/>
                <w:szCs w:val="20"/>
              </w:rPr>
            </w:pPr>
            <w:r w:rsidRPr="00745668">
              <w:rPr>
                <w:rFonts w:ascii="Calibri" w:hAnsi="Calibri"/>
                <w:sz w:val="20"/>
                <w:szCs w:val="20"/>
              </w:rPr>
              <w:t>Review any findings</w:t>
            </w:r>
          </w:p>
          <w:p w:rsidR="00E06B46" w:rsidRPr="00745668" w:rsidRDefault="00E06B46" w:rsidP="001F3060">
            <w:pPr>
              <w:numPr>
                <w:ilvl w:val="0"/>
                <w:numId w:val="15"/>
              </w:numPr>
              <w:rPr>
                <w:rFonts w:ascii="Calibri" w:hAnsi="Calibri"/>
                <w:sz w:val="20"/>
                <w:szCs w:val="20"/>
              </w:rPr>
            </w:pPr>
            <w:r w:rsidRPr="00745668">
              <w:rPr>
                <w:rFonts w:ascii="Calibri" w:hAnsi="Calibri"/>
                <w:sz w:val="20"/>
                <w:szCs w:val="20"/>
              </w:rPr>
              <w:t>Review management letter</w:t>
            </w:r>
          </w:p>
          <w:p w:rsidR="00E06B46" w:rsidRPr="00745668" w:rsidRDefault="00E06B46" w:rsidP="001F3060">
            <w:pPr>
              <w:numPr>
                <w:ilvl w:val="0"/>
                <w:numId w:val="15"/>
              </w:numPr>
              <w:rPr>
                <w:rFonts w:ascii="Calibri" w:hAnsi="Calibri"/>
                <w:sz w:val="20"/>
                <w:szCs w:val="20"/>
              </w:rPr>
            </w:pPr>
            <w:r w:rsidRPr="00745668">
              <w:rPr>
                <w:rFonts w:ascii="Calibri" w:hAnsi="Calibri"/>
                <w:sz w:val="20"/>
                <w:szCs w:val="20"/>
              </w:rPr>
              <w:t>Review opinion letters</w:t>
            </w:r>
          </w:p>
        </w:tc>
        <w:tc>
          <w:tcPr>
            <w:tcW w:w="2160" w:type="dxa"/>
            <w:vAlign w:val="center"/>
          </w:tcPr>
          <w:p w:rsidR="00E06B46" w:rsidRPr="00745668" w:rsidRDefault="00E06B46" w:rsidP="001F3060">
            <w:pPr>
              <w:rPr>
                <w:rFonts w:ascii="Calibri" w:hAnsi="Calibri"/>
                <w:sz w:val="20"/>
                <w:szCs w:val="20"/>
              </w:rPr>
            </w:pPr>
            <w:r w:rsidRPr="00745668">
              <w:rPr>
                <w:rFonts w:ascii="Calibri" w:hAnsi="Calibri"/>
                <w:b/>
                <w:color w:val="C0504D"/>
                <w:sz w:val="20"/>
                <w:szCs w:val="20"/>
              </w:rPr>
              <w:t>*REQUIRED*</w:t>
            </w:r>
            <w:r w:rsidRPr="00745668">
              <w:rPr>
                <w:rFonts w:ascii="Calibri" w:hAnsi="Calibri"/>
                <w:sz w:val="20"/>
                <w:szCs w:val="20"/>
              </w:rPr>
              <w:t xml:space="preserve"> All sub-grantees are required to submit their most recent audits (A-133 or independent financial audit). </w:t>
            </w:r>
          </w:p>
        </w:tc>
      </w:tr>
      <w:tr w:rsidR="00E06B46" w:rsidRPr="00745668" w:rsidTr="003009D1">
        <w:trPr>
          <w:cantSplit/>
          <w:trHeight w:val="1025"/>
        </w:trPr>
        <w:tc>
          <w:tcPr>
            <w:tcW w:w="1818" w:type="dxa"/>
          </w:tcPr>
          <w:p w:rsidR="00E06B46" w:rsidRPr="00745668" w:rsidRDefault="00E06B46" w:rsidP="00145B28">
            <w:pPr>
              <w:rPr>
                <w:rFonts w:ascii="Calibri" w:hAnsi="Calibri"/>
                <w:b/>
                <w:sz w:val="20"/>
                <w:szCs w:val="20"/>
              </w:rPr>
            </w:pPr>
            <w:r w:rsidRPr="00745668">
              <w:rPr>
                <w:rFonts w:ascii="Calibri" w:hAnsi="Calibri"/>
                <w:b/>
                <w:sz w:val="20"/>
                <w:szCs w:val="20"/>
              </w:rPr>
              <w:t>SITE VISIT</w:t>
            </w:r>
            <w:r>
              <w:rPr>
                <w:rFonts w:ascii="Calibri" w:hAnsi="Calibri"/>
                <w:b/>
                <w:sz w:val="20"/>
                <w:szCs w:val="20"/>
              </w:rPr>
              <w:t>S</w:t>
            </w:r>
          </w:p>
        </w:tc>
        <w:tc>
          <w:tcPr>
            <w:tcW w:w="5040" w:type="dxa"/>
          </w:tcPr>
          <w:p w:rsidR="00E06B46" w:rsidRPr="00745668" w:rsidRDefault="00E06B46" w:rsidP="00145B28">
            <w:pPr>
              <w:numPr>
                <w:ilvl w:val="0"/>
                <w:numId w:val="15"/>
              </w:numPr>
              <w:rPr>
                <w:rFonts w:ascii="Calibri" w:hAnsi="Calibri"/>
                <w:sz w:val="20"/>
                <w:szCs w:val="20"/>
              </w:rPr>
            </w:pPr>
            <w:r w:rsidRPr="00745668">
              <w:rPr>
                <w:rFonts w:ascii="Calibri" w:hAnsi="Calibri"/>
                <w:sz w:val="20"/>
                <w:szCs w:val="20"/>
              </w:rPr>
              <w:t>Pre-visit questions and documents may be requested of the sub-grantee</w:t>
            </w:r>
          </w:p>
          <w:p w:rsidR="00E06B46" w:rsidRPr="00745668" w:rsidRDefault="00E06B46" w:rsidP="00145B28">
            <w:pPr>
              <w:numPr>
                <w:ilvl w:val="0"/>
                <w:numId w:val="15"/>
              </w:numPr>
              <w:rPr>
                <w:rFonts w:ascii="Calibri" w:hAnsi="Calibri"/>
                <w:sz w:val="20"/>
                <w:szCs w:val="20"/>
              </w:rPr>
            </w:pPr>
            <w:r w:rsidRPr="00745668">
              <w:rPr>
                <w:rFonts w:ascii="Calibri" w:hAnsi="Calibri"/>
                <w:sz w:val="20"/>
                <w:szCs w:val="20"/>
              </w:rPr>
              <w:t>Staff interviews to understand systems and other issues as applicable to the grantee</w:t>
            </w:r>
          </w:p>
          <w:p w:rsidR="00E06B46" w:rsidRPr="00745668" w:rsidRDefault="00E06B46" w:rsidP="00145B28">
            <w:pPr>
              <w:numPr>
                <w:ilvl w:val="0"/>
                <w:numId w:val="15"/>
              </w:numPr>
              <w:rPr>
                <w:rFonts w:ascii="Calibri" w:hAnsi="Calibri"/>
                <w:sz w:val="20"/>
                <w:szCs w:val="20"/>
              </w:rPr>
            </w:pPr>
            <w:r w:rsidRPr="00745668">
              <w:rPr>
                <w:rFonts w:ascii="Calibri" w:hAnsi="Calibri"/>
                <w:sz w:val="20"/>
                <w:szCs w:val="20"/>
              </w:rPr>
              <w:t>Source documentation testing</w:t>
            </w:r>
          </w:p>
          <w:p w:rsidR="00E06B46" w:rsidRPr="00745668" w:rsidRDefault="00E06B46" w:rsidP="008C39DD">
            <w:pPr>
              <w:numPr>
                <w:ilvl w:val="0"/>
                <w:numId w:val="15"/>
              </w:numPr>
              <w:rPr>
                <w:rFonts w:ascii="Calibri" w:hAnsi="Calibri"/>
                <w:sz w:val="20"/>
                <w:szCs w:val="20"/>
              </w:rPr>
            </w:pPr>
            <w:r w:rsidRPr="00745668">
              <w:rPr>
                <w:rFonts w:ascii="Calibri" w:hAnsi="Calibri"/>
                <w:sz w:val="20"/>
                <w:szCs w:val="20"/>
              </w:rPr>
              <w:t>Specific issue investigation (as applicable)</w:t>
            </w:r>
          </w:p>
        </w:tc>
        <w:tc>
          <w:tcPr>
            <w:tcW w:w="2160" w:type="dxa"/>
            <w:vAlign w:val="center"/>
          </w:tcPr>
          <w:p w:rsidR="00A675FC" w:rsidRDefault="00A675FC" w:rsidP="00A675FC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color w:val="C0504D"/>
                <w:sz w:val="20"/>
                <w:szCs w:val="20"/>
              </w:rPr>
              <w:t>*</w:t>
            </w:r>
            <w:r w:rsidRPr="00321A94">
              <w:rPr>
                <w:rFonts w:ascii="Calibri" w:hAnsi="Calibri"/>
                <w:b/>
                <w:color w:val="C0504D"/>
                <w:sz w:val="20"/>
                <w:szCs w:val="20"/>
              </w:rPr>
              <w:t>SUB-GRANTEE RISK LEVEL:</w:t>
            </w:r>
            <w:r>
              <w:rPr>
                <w:rFonts w:ascii="Calibri" w:hAnsi="Calibri"/>
                <w:sz w:val="20"/>
                <w:szCs w:val="20"/>
              </w:rPr>
              <w:t xml:space="preserve">  High – but all sub-grantees will receive an on-site visit at least once during a 3-year project period.</w:t>
            </w:r>
          </w:p>
          <w:p w:rsidR="00A675FC" w:rsidRDefault="00A675FC" w:rsidP="00A675FC">
            <w:pPr>
              <w:rPr>
                <w:rFonts w:ascii="Calibri" w:hAnsi="Calibri"/>
                <w:sz w:val="20"/>
                <w:szCs w:val="20"/>
              </w:rPr>
            </w:pPr>
          </w:p>
          <w:p w:rsidR="00A675FC" w:rsidRPr="00845420" w:rsidRDefault="00A675FC" w:rsidP="00A675FC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May be a strategy to monitor the progress of a program working within a corrective action plan</w:t>
            </w:r>
          </w:p>
          <w:p w:rsidR="00E06B46" w:rsidRPr="00745668" w:rsidRDefault="00E06B46" w:rsidP="00BD614B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E06B46" w:rsidRPr="00745668" w:rsidTr="003009D1">
        <w:trPr>
          <w:cantSplit/>
          <w:trHeight w:val="1025"/>
        </w:trPr>
        <w:tc>
          <w:tcPr>
            <w:tcW w:w="1818" w:type="dxa"/>
          </w:tcPr>
          <w:p w:rsidR="00E06B46" w:rsidRPr="00745668" w:rsidRDefault="00E06B46" w:rsidP="001F3060">
            <w:pPr>
              <w:rPr>
                <w:rFonts w:ascii="Calibri" w:hAnsi="Calibri"/>
                <w:b/>
                <w:sz w:val="20"/>
                <w:szCs w:val="20"/>
              </w:rPr>
            </w:pPr>
            <w:r w:rsidRPr="00745668">
              <w:rPr>
                <w:rFonts w:ascii="Calibri" w:hAnsi="Calibri"/>
                <w:b/>
                <w:sz w:val="20"/>
                <w:szCs w:val="20"/>
              </w:rPr>
              <w:t>FINAL PER MONITORING</w:t>
            </w:r>
          </w:p>
        </w:tc>
        <w:tc>
          <w:tcPr>
            <w:tcW w:w="5040" w:type="dxa"/>
          </w:tcPr>
          <w:p w:rsidR="00E06B46" w:rsidRPr="00745668" w:rsidRDefault="00E06B46" w:rsidP="001F3060">
            <w:pPr>
              <w:numPr>
                <w:ilvl w:val="0"/>
                <w:numId w:val="15"/>
              </w:numPr>
              <w:rPr>
                <w:rFonts w:ascii="Calibri" w:hAnsi="Calibri"/>
                <w:sz w:val="20"/>
                <w:szCs w:val="20"/>
              </w:rPr>
            </w:pPr>
            <w:r w:rsidRPr="00745668">
              <w:rPr>
                <w:rFonts w:ascii="Calibri" w:hAnsi="Calibri"/>
                <w:sz w:val="20"/>
                <w:szCs w:val="20"/>
              </w:rPr>
              <w:t>Ensure that the sub-grantee is meeting budgeted matching percentages</w:t>
            </w:r>
          </w:p>
          <w:p w:rsidR="00E06B46" w:rsidRPr="00745668" w:rsidRDefault="00E06B46" w:rsidP="001F3060">
            <w:pPr>
              <w:numPr>
                <w:ilvl w:val="0"/>
                <w:numId w:val="15"/>
              </w:numPr>
              <w:rPr>
                <w:rFonts w:ascii="Calibri" w:hAnsi="Calibri"/>
                <w:sz w:val="20"/>
                <w:szCs w:val="20"/>
              </w:rPr>
            </w:pPr>
            <w:r w:rsidRPr="00745668">
              <w:rPr>
                <w:rFonts w:ascii="Calibri" w:hAnsi="Calibri"/>
                <w:sz w:val="20"/>
                <w:szCs w:val="20"/>
              </w:rPr>
              <w:t>Test for overall reasonableness of costs</w:t>
            </w:r>
          </w:p>
          <w:p w:rsidR="00E06B46" w:rsidRPr="00745668" w:rsidRDefault="00E06B46" w:rsidP="001F3060">
            <w:pPr>
              <w:numPr>
                <w:ilvl w:val="0"/>
                <w:numId w:val="15"/>
              </w:numPr>
              <w:rPr>
                <w:rFonts w:ascii="Calibri" w:hAnsi="Calibri"/>
                <w:sz w:val="20"/>
                <w:szCs w:val="20"/>
              </w:rPr>
            </w:pPr>
            <w:r w:rsidRPr="00745668">
              <w:rPr>
                <w:rFonts w:ascii="Calibri" w:hAnsi="Calibri"/>
                <w:sz w:val="20"/>
                <w:szCs w:val="20"/>
              </w:rPr>
              <w:t xml:space="preserve">Conduct living allowance reasonableness analysis </w:t>
            </w:r>
          </w:p>
          <w:p w:rsidR="00E06B46" w:rsidRPr="00745668" w:rsidRDefault="00E06B46" w:rsidP="001F3060">
            <w:pPr>
              <w:numPr>
                <w:ilvl w:val="0"/>
                <w:numId w:val="15"/>
              </w:numPr>
              <w:rPr>
                <w:rFonts w:ascii="Calibri" w:hAnsi="Calibri"/>
                <w:sz w:val="20"/>
                <w:szCs w:val="20"/>
              </w:rPr>
            </w:pPr>
            <w:r w:rsidRPr="00745668">
              <w:rPr>
                <w:rFonts w:ascii="Calibri" w:hAnsi="Calibri"/>
                <w:sz w:val="20"/>
                <w:szCs w:val="20"/>
              </w:rPr>
              <w:t xml:space="preserve">Ensure that administrative cost percentages are in compliance </w:t>
            </w:r>
          </w:p>
          <w:p w:rsidR="00E06B46" w:rsidRPr="00745668" w:rsidRDefault="00E06B46" w:rsidP="001F3060">
            <w:pPr>
              <w:numPr>
                <w:ilvl w:val="0"/>
                <w:numId w:val="15"/>
              </w:numPr>
              <w:rPr>
                <w:rFonts w:ascii="Calibri" w:hAnsi="Calibri"/>
                <w:sz w:val="20"/>
                <w:szCs w:val="20"/>
              </w:rPr>
            </w:pPr>
            <w:r w:rsidRPr="00745668">
              <w:rPr>
                <w:rFonts w:ascii="Calibri" w:hAnsi="Calibri"/>
                <w:sz w:val="20"/>
                <w:szCs w:val="20"/>
              </w:rPr>
              <w:t>Ensure FICA is in compliance</w:t>
            </w:r>
          </w:p>
          <w:p w:rsidR="00E06B46" w:rsidRPr="00745668" w:rsidRDefault="00E06B46" w:rsidP="001F3060">
            <w:pPr>
              <w:numPr>
                <w:ilvl w:val="0"/>
                <w:numId w:val="15"/>
              </w:numPr>
              <w:rPr>
                <w:rFonts w:ascii="Calibri" w:hAnsi="Calibri"/>
                <w:sz w:val="20"/>
                <w:szCs w:val="20"/>
              </w:rPr>
            </w:pPr>
            <w:r w:rsidRPr="00745668">
              <w:rPr>
                <w:rFonts w:ascii="Calibri" w:hAnsi="Calibri"/>
                <w:sz w:val="20"/>
                <w:szCs w:val="20"/>
              </w:rPr>
              <w:t>Ensure actual expenditures are within approved variance levels and budgeted amounts</w:t>
            </w:r>
          </w:p>
        </w:tc>
        <w:tc>
          <w:tcPr>
            <w:tcW w:w="2160" w:type="dxa"/>
            <w:vAlign w:val="center"/>
          </w:tcPr>
          <w:p w:rsidR="00E06B46" w:rsidRPr="00745668" w:rsidRDefault="00E06B46" w:rsidP="001F3060">
            <w:pPr>
              <w:rPr>
                <w:rFonts w:ascii="Calibri" w:hAnsi="Calibri"/>
                <w:sz w:val="20"/>
                <w:szCs w:val="20"/>
              </w:rPr>
            </w:pPr>
            <w:r w:rsidRPr="00745668">
              <w:rPr>
                <w:rFonts w:ascii="Calibri" w:hAnsi="Calibri"/>
                <w:b/>
                <w:color w:val="C0504D"/>
                <w:sz w:val="20"/>
                <w:szCs w:val="20"/>
              </w:rPr>
              <w:t>*REQUIRED*</w:t>
            </w:r>
            <w:r w:rsidRPr="00745668">
              <w:rPr>
                <w:rFonts w:ascii="Calibri" w:hAnsi="Calibri"/>
                <w:sz w:val="20"/>
                <w:szCs w:val="20"/>
              </w:rPr>
              <w:t xml:space="preserve"> All sub-grantees receive Final PER Monitoring annually. </w:t>
            </w:r>
          </w:p>
          <w:p w:rsidR="00E06B46" w:rsidRPr="00745668" w:rsidRDefault="00E06B46" w:rsidP="001F3060">
            <w:pPr>
              <w:rPr>
                <w:rFonts w:ascii="Calibri" w:hAnsi="Calibri"/>
                <w:sz w:val="20"/>
                <w:szCs w:val="20"/>
              </w:rPr>
            </w:pPr>
          </w:p>
          <w:p w:rsidR="00E06B46" w:rsidRPr="00745668" w:rsidRDefault="00E06B46" w:rsidP="001F3060">
            <w:pPr>
              <w:rPr>
                <w:rFonts w:ascii="Calibri" w:hAnsi="Calibri"/>
                <w:sz w:val="20"/>
                <w:szCs w:val="20"/>
              </w:rPr>
            </w:pPr>
            <w:r w:rsidRPr="00745668">
              <w:rPr>
                <w:rFonts w:ascii="Calibri" w:hAnsi="Calibri"/>
                <w:sz w:val="20"/>
                <w:szCs w:val="20"/>
              </w:rPr>
              <w:t>OneStar staff may utilize components of Final PER monitoring to conduct periodic monitoring of PERs throughout the year.</w:t>
            </w:r>
          </w:p>
        </w:tc>
      </w:tr>
      <w:tr w:rsidR="00E06B46" w:rsidRPr="00745668" w:rsidTr="003009D1">
        <w:trPr>
          <w:cantSplit/>
          <w:trHeight w:val="1025"/>
        </w:trPr>
        <w:tc>
          <w:tcPr>
            <w:tcW w:w="1818" w:type="dxa"/>
          </w:tcPr>
          <w:p w:rsidR="00E06B46" w:rsidRPr="00745668" w:rsidRDefault="00E06B46" w:rsidP="00145B28">
            <w:pPr>
              <w:rPr>
                <w:rFonts w:ascii="Calibri" w:hAnsi="Calibri"/>
                <w:b/>
                <w:sz w:val="20"/>
                <w:szCs w:val="20"/>
              </w:rPr>
            </w:pPr>
            <w:r w:rsidRPr="00745668">
              <w:rPr>
                <w:rFonts w:ascii="Calibri" w:hAnsi="Calibri"/>
                <w:b/>
                <w:sz w:val="20"/>
                <w:szCs w:val="20"/>
              </w:rPr>
              <w:t>RANDOM SAMPLING</w:t>
            </w:r>
          </w:p>
        </w:tc>
        <w:tc>
          <w:tcPr>
            <w:tcW w:w="5040" w:type="dxa"/>
          </w:tcPr>
          <w:p w:rsidR="00E06B46" w:rsidRPr="00745668" w:rsidRDefault="00E06B46" w:rsidP="00145B28">
            <w:pPr>
              <w:numPr>
                <w:ilvl w:val="0"/>
                <w:numId w:val="15"/>
              </w:numPr>
              <w:rPr>
                <w:rFonts w:ascii="Calibri" w:hAnsi="Calibri"/>
                <w:sz w:val="20"/>
                <w:szCs w:val="20"/>
              </w:rPr>
            </w:pPr>
            <w:r w:rsidRPr="00745668">
              <w:rPr>
                <w:rFonts w:ascii="Calibri" w:hAnsi="Calibri"/>
                <w:sz w:val="20"/>
                <w:szCs w:val="20"/>
              </w:rPr>
              <w:t>Staff may use any of the above processes to conduct testing on sub-grantees</w:t>
            </w:r>
          </w:p>
        </w:tc>
        <w:tc>
          <w:tcPr>
            <w:tcW w:w="2160" w:type="dxa"/>
            <w:vAlign w:val="center"/>
          </w:tcPr>
          <w:p w:rsidR="00E06B46" w:rsidRDefault="00E06B46" w:rsidP="00145B28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color w:val="C0504D"/>
                <w:sz w:val="20"/>
                <w:szCs w:val="20"/>
              </w:rPr>
              <w:t>*</w:t>
            </w:r>
            <w:r w:rsidRPr="00321A94">
              <w:rPr>
                <w:rFonts w:ascii="Calibri" w:hAnsi="Calibri"/>
                <w:b/>
                <w:color w:val="C0504D"/>
                <w:sz w:val="20"/>
                <w:szCs w:val="20"/>
              </w:rPr>
              <w:t xml:space="preserve">SUB-GRANTEE RISK LEVEL: </w:t>
            </w:r>
            <w:r>
              <w:rPr>
                <w:rFonts w:ascii="Calibri" w:hAnsi="Calibri"/>
                <w:b/>
                <w:color w:val="C0504D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>Varies</w:t>
            </w:r>
          </w:p>
          <w:p w:rsidR="00E06B46" w:rsidRDefault="00E06B46" w:rsidP="00145B28">
            <w:pPr>
              <w:rPr>
                <w:rFonts w:ascii="Calibri" w:hAnsi="Calibri"/>
                <w:sz w:val="20"/>
                <w:szCs w:val="20"/>
              </w:rPr>
            </w:pPr>
          </w:p>
          <w:p w:rsidR="00E06B46" w:rsidRPr="00BD614B" w:rsidRDefault="00E06B46" w:rsidP="00BD614B">
            <w:pPr>
              <w:rPr>
                <w:rFonts w:ascii="Calibri" w:hAnsi="Calibri"/>
                <w:sz w:val="20"/>
                <w:szCs w:val="20"/>
              </w:rPr>
            </w:pPr>
            <w:r w:rsidRPr="00BD614B">
              <w:rPr>
                <w:rFonts w:ascii="Calibri" w:hAnsi="Calibri"/>
                <w:sz w:val="20"/>
                <w:szCs w:val="20"/>
              </w:rPr>
              <w:t>May be used as a strategy for high-risk grantees</w:t>
            </w:r>
            <w:r>
              <w:rPr>
                <w:rFonts w:ascii="Calibri" w:hAnsi="Calibri"/>
                <w:sz w:val="20"/>
                <w:szCs w:val="20"/>
              </w:rPr>
              <w:t>,</w:t>
            </w:r>
            <w:r w:rsidR="008C39DD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BD614B">
              <w:rPr>
                <w:rFonts w:ascii="Calibri" w:hAnsi="Calibri"/>
                <w:sz w:val="20"/>
                <w:szCs w:val="20"/>
              </w:rPr>
              <w:t>for those that are working within a corrective action plan</w:t>
            </w:r>
            <w:r>
              <w:rPr>
                <w:rFonts w:ascii="Calibri" w:hAnsi="Calibri"/>
                <w:sz w:val="20"/>
                <w:szCs w:val="20"/>
              </w:rPr>
              <w:t xml:space="preserve">, or other </w:t>
            </w:r>
            <w:r w:rsidR="008C39DD">
              <w:rPr>
                <w:rFonts w:ascii="Calibri" w:hAnsi="Calibri"/>
                <w:sz w:val="20"/>
                <w:szCs w:val="20"/>
              </w:rPr>
              <w:t xml:space="preserve">pervasive </w:t>
            </w:r>
            <w:r>
              <w:rPr>
                <w:rFonts w:ascii="Calibri" w:hAnsi="Calibri"/>
                <w:sz w:val="20"/>
                <w:szCs w:val="20"/>
              </w:rPr>
              <w:t xml:space="preserve">issues </w:t>
            </w:r>
            <w:r w:rsidR="008C39DD">
              <w:rPr>
                <w:rFonts w:ascii="Calibri" w:hAnsi="Calibri"/>
                <w:sz w:val="20"/>
                <w:szCs w:val="20"/>
              </w:rPr>
              <w:t xml:space="preserve">or trends </w:t>
            </w:r>
            <w:r>
              <w:rPr>
                <w:rFonts w:ascii="Calibri" w:hAnsi="Calibri"/>
                <w:sz w:val="20"/>
                <w:szCs w:val="20"/>
              </w:rPr>
              <w:t>identified by OneStar</w:t>
            </w:r>
          </w:p>
          <w:p w:rsidR="00E06B46" w:rsidRPr="00845420" w:rsidRDefault="00E06B46" w:rsidP="00145B28">
            <w:pPr>
              <w:rPr>
                <w:rFonts w:ascii="Calibri" w:hAnsi="Calibri"/>
                <w:sz w:val="20"/>
                <w:szCs w:val="20"/>
              </w:rPr>
            </w:pPr>
          </w:p>
          <w:p w:rsidR="00E06B46" w:rsidRDefault="00E06B46" w:rsidP="00145B28">
            <w:pPr>
              <w:rPr>
                <w:rFonts w:ascii="Calibri" w:hAnsi="Calibri"/>
                <w:sz w:val="20"/>
                <w:szCs w:val="20"/>
                <w:highlight w:val="yellow"/>
              </w:rPr>
            </w:pPr>
          </w:p>
          <w:p w:rsidR="00E06B46" w:rsidRPr="00745668" w:rsidRDefault="00E06B46" w:rsidP="00145B28">
            <w:pPr>
              <w:rPr>
                <w:rFonts w:ascii="Calibri" w:hAnsi="Calibri"/>
                <w:sz w:val="20"/>
                <w:szCs w:val="20"/>
                <w:highlight w:val="yellow"/>
              </w:rPr>
            </w:pPr>
          </w:p>
        </w:tc>
      </w:tr>
    </w:tbl>
    <w:p w:rsidR="00321A94" w:rsidRDefault="00321A94" w:rsidP="00CB2CDC">
      <w:pPr>
        <w:rPr>
          <w:rFonts w:ascii="Calibri" w:hAnsi="Calibri"/>
          <w:sz w:val="22"/>
          <w:szCs w:val="22"/>
        </w:rPr>
      </w:pPr>
    </w:p>
    <w:p w:rsidR="00E06B46" w:rsidRPr="002B4EF1" w:rsidRDefault="00E06B46" w:rsidP="00E06B46">
      <w:pPr>
        <w:rPr>
          <w:rFonts w:asciiTheme="minorHAnsi" w:hAnsiTheme="minorHAnsi"/>
          <w:sz w:val="20"/>
          <w:szCs w:val="20"/>
          <w:u w:val="single"/>
        </w:rPr>
      </w:pPr>
      <w:r w:rsidRPr="002B4EF1">
        <w:rPr>
          <w:rFonts w:asciiTheme="minorHAnsi" w:hAnsiTheme="minorHAnsi"/>
          <w:b/>
          <w:sz w:val="20"/>
          <w:szCs w:val="20"/>
          <w:u w:val="single"/>
        </w:rPr>
        <w:t>High-Risk Sub-Grantees:</w:t>
      </w:r>
    </w:p>
    <w:p w:rsidR="00E06B46" w:rsidRPr="002B4EF1" w:rsidRDefault="00E06B46" w:rsidP="00E06B46">
      <w:pPr>
        <w:rPr>
          <w:rFonts w:asciiTheme="minorHAnsi" w:hAnsiTheme="minorHAnsi" w:cs="Arial"/>
          <w:sz w:val="20"/>
          <w:szCs w:val="20"/>
        </w:rPr>
      </w:pPr>
    </w:p>
    <w:p w:rsidR="00E06B46" w:rsidRPr="002B4EF1" w:rsidRDefault="00E06B46" w:rsidP="00E06B46">
      <w:pPr>
        <w:rPr>
          <w:rFonts w:ascii="Calibri" w:hAnsi="Calibri"/>
          <w:sz w:val="20"/>
          <w:szCs w:val="20"/>
        </w:rPr>
      </w:pPr>
      <w:r w:rsidRPr="002B4EF1">
        <w:rPr>
          <w:rFonts w:ascii="Calibri" w:hAnsi="Calibri"/>
          <w:sz w:val="20"/>
          <w:szCs w:val="20"/>
        </w:rPr>
        <w:t xml:space="preserve">High risk sub-grantees or sub-grantees that are put on a corrective action plan may warrant additional monitoring processes. OneStar may expand the scope, conduct additional types of monitoring, increase frequency of monitoring, or a combination of these for this type of sub-grantee. See </w:t>
      </w:r>
      <w:proofErr w:type="spellStart"/>
      <w:r w:rsidRPr="002B4EF1">
        <w:rPr>
          <w:rFonts w:ascii="Calibri" w:hAnsi="Calibri"/>
          <w:sz w:val="20"/>
          <w:szCs w:val="20"/>
        </w:rPr>
        <w:t>OneStar’s</w:t>
      </w:r>
      <w:proofErr w:type="spellEnd"/>
      <w:r w:rsidRPr="002B4EF1">
        <w:rPr>
          <w:rFonts w:ascii="Calibri" w:hAnsi="Calibri"/>
          <w:sz w:val="20"/>
          <w:szCs w:val="20"/>
        </w:rPr>
        <w:t xml:space="preserve"> High-Risk Grantee policy.</w:t>
      </w:r>
    </w:p>
    <w:p w:rsidR="00E06B46" w:rsidRPr="002B4EF1" w:rsidRDefault="00E06B46" w:rsidP="00CB2CDC">
      <w:pPr>
        <w:rPr>
          <w:rFonts w:ascii="Calibri" w:hAnsi="Calibri"/>
          <w:sz w:val="20"/>
          <w:szCs w:val="20"/>
        </w:rPr>
      </w:pPr>
    </w:p>
    <w:p w:rsidR="00845420" w:rsidRPr="002B4EF1" w:rsidRDefault="00845420" w:rsidP="00CB2CDC">
      <w:pPr>
        <w:rPr>
          <w:rFonts w:ascii="Calibri" w:hAnsi="Calibri"/>
          <w:sz w:val="20"/>
          <w:szCs w:val="20"/>
        </w:rPr>
      </w:pPr>
      <w:r w:rsidRPr="002B4EF1">
        <w:rPr>
          <w:rFonts w:ascii="Calibri" w:hAnsi="Calibri"/>
          <w:sz w:val="20"/>
          <w:szCs w:val="20"/>
        </w:rPr>
        <w:t>Low, Medium and</w:t>
      </w:r>
      <w:r w:rsidR="00FB3E02" w:rsidRPr="002B4EF1">
        <w:rPr>
          <w:rFonts w:ascii="Calibri" w:hAnsi="Calibri"/>
          <w:sz w:val="20"/>
          <w:szCs w:val="20"/>
        </w:rPr>
        <w:t xml:space="preserve"> High Risk designations for these</w:t>
      </w:r>
      <w:r w:rsidRPr="002B4EF1">
        <w:rPr>
          <w:rFonts w:ascii="Calibri" w:hAnsi="Calibri"/>
          <w:sz w:val="20"/>
          <w:szCs w:val="20"/>
        </w:rPr>
        <w:t xml:space="preserve"> methods of monito</w:t>
      </w:r>
      <w:r w:rsidR="00BD614B" w:rsidRPr="002B4EF1">
        <w:rPr>
          <w:rFonts w:ascii="Calibri" w:hAnsi="Calibri"/>
          <w:sz w:val="20"/>
          <w:szCs w:val="20"/>
        </w:rPr>
        <w:t xml:space="preserve">ring are </w:t>
      </w:r>
      <w:r w:rsidR="00FB3E02" w:rsidRPr="002B4EF1">
        <w:rPr>
          <w:rFonts w:ascii="Calibri" w:hAnsi="Calibri"/>
          <w:sz w:val="20"/>
          <w:szCs w:val="20"/>
        </w:rPr>
        <w:t>not fixed</w:t>
      </w:r>
      <w:r w:rsidR="00BD614B" w:rsidRPr="002B4EF1">
        <w:rPr>
          <w:rFonts w:ascii="Calibri" w:hAnsi="Calibri"/>
          <w:sz w:val="20"/>
          <w:szCs w:val="20"/>
        </w:rPr>
        <w:t xml:space="preserve">. </w:t>
      </w:r>
      <w:r w:rsidR="002456A7" w:rsidRPr="002B4EF1">
        <w:rPr>
          <w:rFonts w:ascii="Calibri" w:hAnsi="Calibri"/>
          <w:sz w:val="20"/>
          <w:szCs w:val="20"/>
        </w:rPr>
        <w:t>Grants Officers (Fiscal)</w:t>
      </w:r>
      <w:r w:rsidR="00FB3E02" w:rsidRPr="002B4EF1">
        <w:rPr>
          <w:rFonts w:ascii="Calibri" w:hAnsi="Calibri"/>
          <w:sz w:val="20"/>
          <w:szCs w:val="20"/>
        </w:rPr>
        <w:t xml:space="preserve"> use their professional judgments</w:t>
      </w:r>
      <w:r w:rsidR="00BD614B" w:rsidRPr="002B4EF1">
        <w:rPr>
          <w:rFonts w:ascii="Calibri" w:hAnsi="Calibri"/>
          <w:sz w:val="20"/>
          <w:szCs w:val="20"/>
        </w:rPr>
        <w:t xml:space="preserve"> on the type of moni</w:t>
      </w:r>
      <w:r w:rsidR="00FB3E02" w:rsidRPr="002B4EF1">
        <w:rPr>
          <w:rFonts w:ascii="Calibri" w:hAnsi="Calibri"/>
          <w:sz w:val="20"/>
          <w:szCs w:val="20"/>
        </w:rPr>
        <w:t>toring that</w:t>
      </w:r>
      <w:r w:rsidR="008C39DD" w:rsidRPr="002B4EF1">
        <w:rPr>
          <w:rFonts w:ascii="Calibri" w:hAnsi="Calibri"/>
          <w:sz w:val="20"/>
          <w:szCs w:val="20"/>
        </w:rPr>
        <w:t xml:space="preserve"> i</w:t>
      </w:r>
      <w:r w:rsidR="00FB3E02" w:rsidRPr="002B4EF1">
        <w:rPr>
          <w:rFonts w:ascii="Calibri" w:hAnsi="Calibri"/>
          <w:sz w:val="20"/>
          <w:szCs w:val="20"/>
        </w:rPr>
        <w:t>s needed for each sub-grantee.</w:t>
      </w:r>
    </w:p>
    <w:p w:rsidR="0014633B" w:rsidRPr="002B4EF1" w:rsidRDefault="0014633B" w:rsidP="0014633B">
      <w:pPr>
        <w:pStyle w:val="ListParagraph"/>
        <w:rPr>
          <w:rFonts w:asciiTheme="minorHAnsi" w:hAnsiTheme="minorHAnsi"/>
          <w:sz w:val="20"/>
          <w:szCs w:val="20"/>
        </w:rPr>
      </w:pPr>
    </w:p>
    <w:p w:rsidR="002D19F2" w:rsidRPr="002B4EF1" w:rsidRDefault="002D19F2" w:rsidP="00CB2CDC">
      <w:pPr>
        <w:rPr>
          <w:rFonts w:asciiTheme="minorHAnsi" w:hAnsiTheme="minorHAnsi"/>
          <w:sz w:val="20"/>
          <w:szCs w:val="20"/>
        </w:rPr>
      </w:pPr>
    </w:p>
    <w:sectPr w:rsidR="002D19F2" w:rsidRPr="002B4EF1" w:rsidSect="00145B28">
      <w:headerReference w:type="default" r:id="rId9"/>
      <w:footerReference w:type="default" r:id="rId10"/>
      <w:pgSz w:w="12240" w:h="15840"/>
      <w:pgMar w:top="1800" w:right="1080" w:bottom="117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3E02" w:rsidRDefault="00FB3E02" w:rsidP="00E71968">
      <w:r>
        <w:separator/>
      </w:r>
    </w:p>
  </w:endnote>
  <w:endnote w:type="continuationSeparator" w:id="0">
    <w:p w:rsidR="00FB3E02" w:rsidRDefault="00FB3E02" w:rsidP="00E71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HAnsi" w:hAnsiTheme="minorHAnsi"/>
        <w:sz w:val="18"/>
        <w:szCs w:val="18"/>
      </w:rPr>
      <w:id w:val="96482532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/>
            <w:sz w:val="18"/>
            <w:szCs w:val="18"/>
          </w:rPr>
          <w:id w:val="565050523"/>
          <w:docPartObj>
            <w:docPartGallery w:val="Page Numbers (Top of Page)"/>
            <w:docPartUnique/>
          </w:docPartObj>
        </w:sdtPr>
        <w:sdtEndPr/>
        <w:sdtContent>
          <w:p w:rsidR="00FB3E02" w:rsidRPr="00501DEA" w:rsidRDefault="00FB3E02" w:rsidP="00501DEA">
            <w:pPr>
              <w:pStyle w:val="Foo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 xml:space="preserve">Last revised </w:t>
            </w:r>
            <w:r w:rsidR="008C39DD">
              <w:rPr>
                <w:rFonts w:asciiTheme="minorHAnsi" w:hAnsiTheme="minorHAnsi"/>
                <w:i/>
                <w:sz w:val="18"/>
                <w:szCs w:val="18"/>
              </w:rPr>
              <w:t>6</w:t>
            </w:r>
            <w:r w:rsidR="008467BA">
              <w:rPr>
                <w:rFonts w:asciiTheme="minorHAnsi" w:hAnsiTheme="minorHAnsi"/>
                <w:i/>
                <w:sz w:val="18"/>
                <w:szCs w:val="18"/>
              </w:rPr>
              <w:t>.2</w:t>
            </w:r>
            <w:r w:rsidR="008C39DD">
              <w:rPr>
                <w:rFonts w:asciiTheme="minorHAnsi" w:hAnsiTheme="minorHAnsi"/>
                <w:i/>
                <w:sz w:val="18"/>
                <w:szCs w:val="18"/>
              </w:rPr>
              <w:t>2</w:t>
            </w:r>
            <w:r w:rsidR="008467BA">
              <w:rPr>
                <w:rFonts w:asciiTheme="minorHAnsi" w:hAnsiTheme="minorHAnsi"/>
                <w:i/>
                <w:sz w:val="18"/>
                <w:szCs w:val="18"/>
              </w:rPr>
              <w:t>.1</w:t>
            </w:r>
            <w:r w:rsidR="008C39DD">
              <w:rPr>
                <w:rFonts w:asciiTheme="minorHAnsi" w:hAnsiTheme="minorHAnsi"/>
                <w:i/>
                <w:sz w:val="18"/>
                <w:szCs w:val="18"/>
              </w:rPr>
              <w:t>2</w:t>
            </w:r>
            <w:r>
              <w:rPr>
                <w:rFonts w:asciiTheme="minorHAnsi" w:hAnsiTheme="minorHAnsi"/>
                <w:i/>
                <w:sz w:val="18"/>
                <w:szCs w:val="18"/>
              </w:rPr>
              <w:tab/>
            </w:r>
            <w:r>
              <w:rPr>
                <w:rFonts w:asciiTheme="minorHAnsi" w:hAnsiTheme="minorHAnsi"/>
                <w:i/>
                <w:sz w:val="18"/>
                <w:szCs w:val="18"/>
              </w:rPr>
              <w:tab/>
              <w:t xml:space="preserve">   </w:t>
            </w:r>
            <w:r w:rsidRPr="00501DEA">
              <w:rPr>
                <w:rFonts w:asciiTheme="minorHAnsi" w:hAnsiTheme="minorHAnsi"/>
                <w:sz w:val="18"/>
                <w:szCs w:val="18"/>
              </w:rPr>
              <w:t xml:space="preserve">Page </w:t>
            </w:r>
            <w:r w:rsidR="009D64C7" w:rsidRPr="00501DEA">
              <w:rPr>
                <w:rFonts w:asciiTheme="minorHAnsi" w:hAnsiTheme="minorHAnsi"/>
                <w:b/>
                <w:sz w:val="18"/>
                <w:szCs w:val="18"/>
              </w:rPr>
              <w:fldChar w:fldCharType="begin"/>
            </w:r>
            <w:r w:rsidRPr="00501DEA">
              <w:rPr>
                <w:rFonts w:asciiTheme="minorHAnsi" w:hAnsiTheme="minorHAnsi"/>
                <w:b/>
                <w:sz w:val="18"/>
                <w:szCs w:val="18"/>
              </w:rPr>
              <w:instrText xml:space="preserve"> PAGE </w:instrText>
            </w:r>
            <w:r w:rsidR="009D64C7" w:rsidRPr="00501DEA">
              <w:rPr>
                <w:rFonts w:asciiTheme="minorHAnsi" w:hAnsiTheme="minorHAnsi"/>
                <w:b/>
                <w:sz w:val="18"/>
                <w:szCs w:val="18"/>
              </w:rPr>
              <w:fldChar w:fldCharType="separate"/>
            </w:r>
            <w:r w:rsidR="00FD6545">
              <w:rPr>
                <w:rFonts w:asciiTheme="minorHAnsi" w:hAnsiTheme="minorHAnsi"/>
                <w:b/>
                <w:noProof/>
                <w:sz w:val="18"/>
                <w:szCs w:val="18"/>
              </w:rPr>
              <w:t>1</w:t>
            </w:r>
            <w:r w:rsidR="009D64C7" w:rsidRPr="00501DEA">
              <w:rPr>
                <w:rFonts w:asciiTheme="minorHAnsi" w:hAnsiTheme="minorHAnsi"/>
                <w:b/>
                <w:sz w:val="18"/>
                <w:szCs w:val="18"/>
              </w:rPr>
              <w:fldChar w:fldCharType="end"/>
            </w:r>
            <w:r w:rsidRPr="00501DEA">
              <w:rPr>
                <w:rFonts w:asciiTheme="minorHAnsi" w:hAnsiTheme="minorHAnsi"/>
                <w:sz w:val="18"/>
                <w:szCs w:val="18"/>
              </w:rPr>
              <w:t xml:space="preserve"> of </w:t>
            </w:r>
            <w:r w:rsidR="009D64C7" w:rsidRPr="00501DEA">
              <w:rPr>
                <w:rFonts w:asciiTheme="minorHAnsi" w:hAnsiTheme="minorHAnsi"/>
                <w:b/>
                <w:sz w:val="18"/>
                <w:szCs w:val="18"/>
              </w:rPr>
              <w:fldChar w:fldCharType="begin"/>
            </w:r>
            <w:r w:rsidRPr="00501DEA">
              <w:rPr>
                <w:rFonts w:asciiTheme="minorHAnsi" w:hAnsiTheme="minorHAnsi"/>
                <w:b/>
                <w:sz w:val="18"/>
                <w:szCs w:val="18"/>
              </w:rPr>
              <w:instrText xml:space="preserve"> NUMPAGES  </w:instrText>
            </w:r>
            <w:r w:rsidR="009D64C7" w:rsidRPr="00501DEA">
              <w:rPr>
                <w:rFonts w:asciiTheme="minorHAnsi" w:hAnsiTheme="minorHAnsi"/>
                <w:b/>
                <w:sz w:val="18"/>
                <w:szCs w:val="18"/>
              </w:rPr>
              <w:fldChar w:fldCharType="separate"/>
            </w:r>
            <w:r w:rsidR="00FD6545">
              <w:rPr>
                <w:rFonts w:asciiTheme="minorHAnsi" w:hAnsiTheme="minorHAnsi"/>
                <w:b/>
                <w:noProof/>
                <w:sz w:val="18"/>
                <w:szCs w:val="18"/>
              </w:rPr>
              <w:t>3</w:t>
            </w:r>
            <w:r w:rsidR="009D64C7" w:rsidRPr="00501DEA">
              <w:rPr>
                <w:rFonts w:asciiTheme="minorHAnsi" w:hAnsiTheme="minorHAnsi"/>
                <w:b/>
                <w:sz w:val="18"/>
                <w:szCs w:val="18"/>
              </w:rPr>
              <w:fldChar w:fldCharType="end"/>
            </w:r>
          </w:p>
        </w:sdtContent>
      </w:sdt>
    </w:sdtContent>
  </w:sdt>
  <w:p w:rsidR="00FB3E02" w:rsidRPr="00CB2CDC" w:rsidRDefault="00FB3E02">
    <w:pPr>
      <w:pStyle w:val="Footer"/>
      <w:rPr>
        <w:rFonts w:asciiTheme="minorHAnsi" w:hAnsiTheme="minorHAnsi"/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3E02" w:rsidRDefault="00FB3E02" w:rsidP="00E71968">
      <w:r>
        <w:separator/>
      </w:r>
    </w:p>
  </w:footnote>
  <w:footnote w:type="continuationSeparator" w:id="0">
    <w:p w:rsidR="00FB3E02" w:rsidRDefault="00FB3E02" w:rsidP="00E719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E02" w:rsidRDefault="002456A7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EB2D929" wp14:editId="0E41E558">
          <wp:simplePos x="0" y="0"/>
          <wp:positionH relativeFrom="column">
            <wp:posOffset>28575</wp:posOffset>
          </wp:positionH>
          <wp:positionV relativeFrom="paragraph">
            <wp:posOffset>29210</wp:posOffset>
          </wp:positionV>
          <wp:extent cx="1687286" cy="533400"/>
          <wp:effectExtent l="0" t="0" r="0" b="0"/>
          <wp:wrapNone/>
          <wp:docPr id="1" name="Picture 1" descr="Logo-With Taglin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With Tagline2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b="19200"/>
                  <a:stretch/>
                </pic:blipFill>
                <pic:spPr bwMode="auto">
                  <a:xfrm>
                    <a:off x="0" y="0"/>
                    <a:ext cx="1687286" cy="533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D6545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59.2pt;margin-top:1.35pt;width:262.2pt;height:39.75pt;z-index:251658240;mso-position-horizontal-relative:text;mso-position-vertical-relative:text" filled="f" stroked="f">
          <v:textbox style="mso-next-textbox:#_x0000_s2049">
            <w:txbxContent>
              <w:p w:rsidR="00FB3E02" w:rsidRPr="002B6DF9" w:rsidRDefault="00FB3E02" w:rsidP="00960758">
                <w:pPr>
                  <w:jc w:val="right"/>
                  <w:rPr>
                    <w:rFonts w:ascii="Arial Bold" w:hAnsi="Arial Bold"/>
                    <w:color w:val="62A4C2"/>
                    <w:sz w:val="28"/>
                  </w:rPr>
                </w:pPr>
                <w:r>
                  <w:rPr>
                    <w:rFonts w:ascii="Arial Bold" w:hAnsi="Arial Bold"/>
                    <w:color w:val="62A4C2"/>
                    <w:sz w:val="28"/>
                  </w:rPr>
                  <w:t>AmeriCorps Policies + Procedures</w:t>
                </w:r>
              </w:p>
              <w:p w:rsidR="00FB3E02" w:rsidRPr="002B6DF9" w:rsidRDefault="00FB3E02" w:rsidP="00960758">
                <w:pPr>
                  <w:jc w:val="right"/>
                  <w:rPr>
                    <w:rFonts w:ascii="Arial Bold" w:hAnsi="Arial Bold"/>
                    <w:color w:val="62A4C2"/>
                    <w:sz w:val="32"/>
                  </w:rPr>
                </w:pPr>
                <w:r>
                  <w:rPr>
                    <w:rFonts w:ascii="Arial" w:hAnsi="Arial"/>
                    <w:color w:val="FF9900"/>
                  </w:rPr>
                  <w:t>Monitoring and Resolution</w:t>
                </w:r>
              </w:p>
            </w:txbxContent>
          </v:textbox>
        </v:shape>
      </w:pict>
    </w:r>
    <w:r w:rsidR="00FD6545">
      <w:rPr>
        <w:noProof/>
      </w:rPr>
      <w:pict>
        <v:line id="_x0000_s2050" style="position:absolute;z-index:251659264;mso-position-horizontal-relative:text;mso-position-vertical-relative:text" from="246pt,3.25pt" to="246pt,39.25pt" strokeweight="1pt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4523E"/>
    <w:multiLevelType w:val="hybridMultilevel"/>
    <w:tmpl w:val="BD667B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3710EF"/>
    <w:multiLevelType w:val="hybridMultilevel"/>
    <w:tmpl w:val="C5F86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987EFE"/>
    <w:multiLevelType w:val="hybridMultilevel"/>
    <w:tmpl w:val="6E94C6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661636F"/>
    <w:multiLevelType w:val="hybridMultilevel"/>
    <w:tmpl w:val="CFB29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7E472C"/>
    <w:multiLevelType w:val="hybridMultilevel"/>
    <w:tmpl w:val="CFB29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E40308"/>
    <w:multiLevelType w:val="hybridMultilevel"/>
    <w:tmpl w:val="F9085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9D2423"/>
    <w:multiLevelType w:val="hybridMultilevel"/>
    <w:tmpl w:val="BE5C6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E0119F"/>
    <w:multiLevelType w:val="hybridMultilevel"/>
    <w:tmpl w:val="5310E5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99B6150"/>
    <w:multiLevelType w:val="hybridMultilevel"/>
    <w:tmpl w:val="E89402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2367590"/>
    <w:multiLevelType w:val="hybridMultilevel"/>
    <w:tmpl w:val="BCB26FE4"/>
    <w:lvl w:ilvl="0" w:tplc="23EEB9EE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C38642E"/>
    <w:multiLevelType w:val="hybridMultilevel"/>
    <w:tmpl w:val="E76A5E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8BE6309"/>
    <w:multiLevelType w:val="hybridMultilevel"/>
    <w:tmpl w:val="457E860C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9417852"/>
    <w:multiLevelType w:val="hybridMultilevel"/>
    <w:tmpl w:val="B88E9E7C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  <w:num w:numId="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4"/>
  </w:num>
  <w:num w:numId="11">
    <w:abstractNumId w:val="1"/>
  </w:num>
  <w:num w:numId="12">
    <w:abstractNumId w:val="6"/>
  </w:num>
  <w:num w:numId="13">
    <w:abstractNumId w:val="10"/>
  </w:num>
  <w:num w:numId="14">
    <w:abstractNumId w:val="11"/>
  </w:num>
  <w:num w:numId="15">
    <w:abstractNumId w:val="9"/>
  </w:num>
  <w:num w:numId="16">
    <w:abstractNumId w:val="8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markup="0" w:comments="0" w:insDel="0" w:formatting="0" w:inkAnnotations="0"/>
  <w:trackRevisions/>
  <w:documentProtection w:edit="readOnly" w:enforcement="1" w:cryptProviderType="rsaFull" w:cryptAlgorithmClass="hash" w:cryptAlgorithmType="typeAny" w:cryptAlgorithmSid="4" w:cryptSpinCount="100000" w:hash="LgCJ1V8B9TVpAsTsxNEe9Ed2Vi0=" w:salt="t9/iof5EMy365IGJRQ4T9A=="/>
  <w:defaultTabStop w:val="720"/>
  <w:drawingGridHorizontalSpacing w:val="12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71968"/>
    <w:rsid w:val="000953C5"/>
    <w:rsid w:val="000A361C"/>
    <w:rsid w:val="000C7AB2"/>
    <w:rsid w:val="00107709"/>
    <w:rsid w:val="00125C90"/>
    <w:rsid w:val="00145B28"/>
    <w:rsid w:val="0014633B"/>
    <w:rsid w:val="0017186C"/>
    <w:rsid w:val="001D1C88"/>
    <w:rsid w:val="001E1D99"/>
    <w:rsid w:val="0021735B"/>
    <w:rsid w:val="0022307D"/>
    <w:rsid w:val="002456A7"/>
    <w:rsid w:val="00271BBC"/>
    <w:rsid w:val="00271C74"/>
    <w:rsid w:val="002B15A2"/>
    <w:rsid w:val="002B4EF1"/>
    <w:rsid w:val="002B7C31"/>
    <w:rsid w:val="002D19F2"/>
    <w:rsid w:val="002F7F94"/>
    <w:rsid w:val="003009D1"/>
    <w:rsid w:val="00307106"/>
    <w:rsid w:val="00312362"/>
    <w:rsid w:val="00317B0D"/>
    <w:rsid w:val="00321A94"/>
    <w:rsid w:val="00357B2E"/>
    <w:rsid w:val="00437E04"/>
    <w:rsid w:val="004701F5"/>
    <w:rsid w:val="004C4B70"/>
    <w:rsid w:val="00501DEA"/>
    <w:rsid w:val="005239ED"/>
    <w:rsid w:val="00526B9D"/>
    <w:rsid w:val="0053569E"/>
    <w:rsid w:val="00573069"/>
    <w:rsid w:val="005B1B46"/>
    <w:rsid w:val="005D2B4F"/>
    <w:rsid w:val="00614839"/>
    <w:rsid w:val="006254F4"/>
    <w:rsid w:val="0067159C"/>
    <w:rsid w:val="0070136B"/>
    <w:rsid w:val="007405AC"/>
    <w:rsid w:val="00743E5A"/>
    <w:rsid w:val="007B09AC"/>
    <w:rsid w:val="00845420"/>
    <w:rsid w:val="008467BA"/>
    <w:rsid w:val="008C39DD"/>
    <w:rsid w:val="008E0D6B"/>
    <w:rsid w:val="0095427F"/>
    <w:rsid w:val="00960758"/>
    <w:rsid w:val="009B3957"/>
    <w:rsid w:val="009D64C7"/>
    <w:rsid w:val="009E0E5A"/>
    <w:rsid w:val="00A11C4B"/>
    <w:rsid w:val="00A60A57"/>
    <w:rsid w:val="00A675FC"/>
    <w:rsid w:val="00A7531E"/>
    <w:rsid w:val="00AB1AB1"/>
    <w:rsid w:val="00AD4747"/>
    <w:rsid w:val="00B01D5E"/>
    <w:rsid w:val="00B23521"/>
    <w:rsid w:val="00B33783"/>
    <w:rsid w:val="00B37E67"/>
    <w:rsid w:val="00BD614B"/>
    <w:rsid w:val="00BF7DDE"/>
    <w:rsid w:val="00C4606B"/>
    <w:rsid w:val="00CB2CDC"/>
    <w:rsid w:val="00CF2920"/>
    <w:rsid w:val="00CF64F3"/>
    <w:rsid w:val="00D13819"/>
    <w:rsid w:val="00E02E86"/>
    <w:rsid w:val="00E06B46"/>
    <w:rsid w:val="00E71968"/>
    <w:rsid w:val="00E9051E"/>
    <w:rsid w:val="00E95C03"/>
    <w:rsid w:val="00EA463B"/>
    <w:rsid w:val="00EA794A"/>
    <w:rsid w:val="00EC369A"/>
    <w:rsid w:val="00ED3466"/>
    <w:rsid w:val="00F211B7"/>
    <w:rsid w:val="00FB157D"/>
    <w:rsid w:val="00FB1F8B"/>
    <w:rsid w:val="00FB3E02"/>
    <w:rsid w:val="00FD6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196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19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1968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719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1968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19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196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71968"/>
    <w:pPr>
      <w:ind w:left="720"/>
      <w:contextualSpacing/>
    </w:pPr>
  </w:style>
  <w:style w:type="table" w:styleId="TableGrid">
    <w:name w:val="Table Grid"/>
    <w:basedOn w:val="TableNormal"/>
    <w:uiPriority w:val="59"/>
    <w:rsid w:val="0096075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AB1AB1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45B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5B2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5B28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5B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5B28"/>
    <w:rPr>
      <w:rFonts w:ascii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71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2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80583B-D6DD-44DF-B655-8EEF24846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3</Pages>
  <Words>667</Words>
  <Characters>3807</Characters>
  <Application>Microsoft Office Word</Application>
  <DocSecurity>8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 Frankenberger</dc:creator>
  <cp:keywords/>
  <dc:description/>
  <cp:lastModifiedBy>Emily Steinberg</cp:lastModifiedBy>
  <cp:revision>16</cp:revision>
  <cp:lastPrinted>2011-01-27T17:49:00Z</cp:lastPrinted>
  <dcterms:created xsi:type="dcterms:W3CDTF">2010-10-12T20:59:00Z</dcterms:created>
  <dcterms:modified xsi:type="dcterms:W3CDTF">2012-08-20T11:32:00Z</dcterms:modified>
</cp:coreProperties>
</file>