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68" w:rsidRPr="00E71968" w:rsidRDefault="00E71968" w:rsidP="00CB2CDC">
      <w:pPr>
        <w:rPr>
          <w:rFonts w:asciiTheme="minorHAnsi" w:hAnsiTheme="minorHAnsi" w:cs="Arial"/>
          <w:sz w:val="22"/>
          <w:szCs w:val="22"/>
        </w:rPr>
      </w:pPr>
    </w:p>
    <w:p w:rsidR="00AB1AB1" w:rsidRDefault="00AB1AB1" w:rsidP="00CB2CDC">
      <w:pPr>
        <w:rPr>
          <w:rFonts w:asciiTheme="minorHAnsi" w:hAnsiTheme="minorHAnsi"/>
          <w:sz w:val="22"/>
          <w:szCs w:val="22"/>
        </w:rPr>
      </w:pPr>
    </w:p>
    <w:p w:rsidR="00CB2CDC" w:rsidRPr="00CB2CDC" w:rsidRDefault="005E64BB" w:rsidP="00CB2CDC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programmatic</w:t>
      </w:r>
      <w:r w:rsidR="00145B28">
        <w:rPr>
          <w:rFonts w:asciiTheme="minorHAnsi" w:hAnsiTheme="minorHAnsi"/>
          <w:b/>
          <w:caps/>
          <w:sz w:val="22"/>
          <w:szCs w:val="22"/>
        </w:rPr>
        <w:t xml:space="preserve"> Monitoring Menu</w:t>
      </w:r>
    </w:p>
    <w:p w:rsidR="00CB2CDC" w:rsidRDefault="00CB2CDC" w:rsidP="00CB2CDC">
      <w:pPr>
        <w:rPr>
          <w:rFonts w:asciiTheme="minorHAnsi" w:hAnsiTheme="minorHAnsi"/>
          <w:sz w:val="22"/>
          <w:szCs w:val="22"/>
        </w:rPr>
      </w:pPr>
    </w:p>
    <w:p w:rsidR="00CB2CDC" w:rsidRPr="00CB2CDC" w:rsidRDefault="00145B28" w:rsidP="00CB2CDC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Overview</w:t>
      </w:r>
    </w:p>
    <w:p w:rsidR="00CB2CDC" w:rsidRDefault="00CB2CDC" w:rsidP="00CB2CDC">
      <w:pPr>
        <w:rPr>
          <w:rFonts w:asciiTheme="minorHAnsi" w:hAnsiTheme="minorHAnsi"/>
          <w:b/>
        </w:rPr>
      </w:pPr>
    </w:p>
    <w:p w:rsidR="00145B28" w:rsidRDefault="00145B28" w:rsidP="00145B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OneStar Foundation utilizes a variety of monitoring processes and tools to conduct </w:t>
      </w:r>
      <w:r w:rsidR="00B34469">
        <w:rPr>
          <w:rFonts w:ascii="Calibri" w:hAnsi="Calibri"/>
          <w:sz w:val="20"/>
          <w:szCs w:val="20"/>
        </w:rPr>
        <w:t>programmatic</w:t>
      </w:r>
      <w:r>
        <w:rPr>
          <w:rFonts w:ascii="Calibri" w:hAnsi="Calibri"/>
          <w:sz w:val="20"/>
          <w:szCs w:val="20"/>
        </w:rPr>
        <w:t xml:space="preserve"> oversight of its sub-grantees. The processes listed below include the different </w:t>
      </w:r>
      <w:r w:rsidR="00B34469">
        <w:rPr>
          <w:rFonts w:ascii="Calibri" w:hAnsi="Calibri"/>
          <w:sz w:val="20"/>
          <w:szCs w:val="20"/>
        </w:rPr>
        <w:t>programmatic</w:t>
      </w:r>
      <w:r>
        <w:rPr>
          <w:rFonts w:ascii="Calibri" w:hAnsi="Calibri"/>
          <w:sz w:val="20"/>
          <w:szCs w:val="20"/>
        </w:rPr>
        <w:t xml:space="preserve"> monitoring options that OneStar staff may use to monitor its sub-grantees. Some elements are required for all sub-grantees, while other options may be used for </w:t>
      </w:r>
      <w:r w:rsidR="0067159C">
        <w:rPr>
          <w:rFonts w:ascii="Calibri" w:hAnsi="Calibri"/>
          <w:sz w:val="20"/>
          <w:szCs w:val="20"/>
        </w:rPr>
        <w:t>sub-</w:t>
      </w:r>
      <w:r>
        <w:rPr>
          <w:rFonts w:ascii="Calibri" w:hAnsi="Calibri"/>
          <w:sz w:val="20"/>
          <w:szCs w:val="20"/>
        </w:rPr>
        <w:t xml:space="preserve">grantees depending on identified problem areas, scope, and/or risk factors. </w:t>
      </w:r>
    </w:p>
    <w:p w:rsidR="00CB2CDC" w:rsidRDefault="00CB2CDC" w:rsidP="00CB2CDC">
      <w:pPr>
        <w:rPr>
          <w:rFonts w:asciiTheme="minorHAnsi" w:hAnsiTheme="minorHAnsi"/>
        </w:rPr>
      </w:pPr>
    </w:p>
    <w:p w:rsidR="00501DEA" w:rsidRPr="00CB2CDC" w:rsidRDefault="00501DEA" w:rsidP="00501DEA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Category/Description of section</w:t>
      </w:r>
    </w:p>
    <w:p w:rsidR="00CB2CDC" w:rsidRPr="00CB2CDC" w:rsidRDefault="00CB2CDC" w:rsidP="00CB2CDC">
      <w:pPr>
        <w:rPr>
          <w:rFonts w:asciiTheme="minorHAnsi" w:hAnsiTheme="minorHAnsi"/>
        </w:rPr>
      </w:pPr>
    </w:p>
    <w:p w:rsidR="00CB2CDC" w:rsidRPr="00501DEA" w:rsidRDefault="00145B28" w:rsidP="00CB2CDC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All Sub-Grantees</w:t>
      </w:r>
      <w:r w:rsidR="00CB2CDC" w:rsidRPr="00501DEA">
        <w:rPr>
          <w:rFonts w:asciiTheme="minorHAnsi" w:hAnsiTheme="minorHAnsi"/>
          <w:b/>
          <w:sz w:val="22"/>
          <w:u w:val="single"/>
        </w:rPr>
        <w:t>:</w:t>
      </w:r>
    </w:p>
    <w:p w:rsidR="00145B28" w:rsidRDefault="00145B28" w:rsidP="00145B28">
      <w:pPr>
        <w:rPr>
          <w:rFonts w:ascii="Calibri" w:hAnsi="Calibri"/>
          <w:sz w:val="20"/>
          <w:szCs w:val="20"/>
        </w:rPr>
      </w:pPr>
    </w:p>
    <w:p w:rsidR="00145B28" w:rsidRDefault="00145B28" w:rsidP="00145B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 AmeriCorps*Texas operating sub-</w:t>
      </w:r>
      <w:r w:rsidR="00B34469">
        <w:rPr>
          <w:rFonts w:ascii="Calibri" w:hAnsi="Calibri"/>
          <w:sz w:val="20"/>
          <w:szCs w:val="20"/>
        </w:rPr>
        <w:t>grantees will</w:t>
      </w:r>
      <w:r>
        <w:rPr>
          <w:rFonts w:ascii="Calibri" w:hAnsi="Calibri"/>
          <w:sz w:val="20"/>
          <w:szCs w:val="20"/>
        </w:rPr>
        <w:t xml:space="preserve"> undergo the following monitoring processes: </w:t>
      </w:r>
    </w:p>
    <w:p w:rsidR="00E73469" w:rsidRDefault="00E73469" w:rsidP="00145B28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348"/>
        <w:gridCol w:w="2706"/>
        <w:gridCol w:w="3324"/>
      </w:tblGrid>
      <w:tr w:rsidR="00145B28" w:rsidRPr="00745668" w:rsidTr="00E73469">
        <w:trPr>
          <w:trHeight w:val="271"/>
        </w:trPr>
        <w:tc>
          <w:tcPr>
            <w:tcW w:w="3348" w:type="dxa"/>
          </w:tcPr>
          <w:p w:rsidR="00145B28" w:rsidRPr="00745668" w:rsidRDefault="00E73469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Portfolio Risk Assessment</w:t>
            </w:r>
          </w:p>
        </w:tc>
        <w:tc>
          <w:tcPr>
            <w:tcW w:w="2706" w:type="dxa"/>
          </w:tcPr>
          <w:p w:rsidR="00145B28" w:rsidRPr="00745668" w:rsidRDefault="00B34469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 review</w:t>
            </w:r>
            <w:r w:rsidR="00E73469">
              <w:rPr>
                <w:rFonts w:ascii="Calibri" w:hAnsi="Calibri"/>
                <w:sz w:val="20"/>
                <w:szCs w:val="20"/>
              </w:rPr>
              <w:t xml:space="preserve"> (mid)</w:t>
            </w:r>
          </w:p>
        </w:tc>
        <w:tc>
          <w:tcPr>
            <w:tcW w:w="3324" w:type="dxa"/>
          </w:tcPr>
          <w:p w:rsidR="00145B28" w:rsidRPr="00745668" w:rsidRDefault="00E73469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Site Visits</w:t>
            </w:r>
            <w:r w:rsidR="00B3446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73469" w:rsidRPr="00745668" w:rsidTr="00E73469">
        <w:trPr>
          <w:trHeight w:val="287"/>
        </w:trPr>
        <w:tc>
          <w:tcPr>
            <w:tcW w:w="3348" w:type="dxa"/>
          </w:tcPr>
          <w:p w:rsidR="00E73469" w:rsidRPr="00745668" w:rsidRDefault="00E73469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Monthly calls</w:t>
            </w:r>
          </w:p>
        </w:tc>
        <w:tc>
          <w:tcPr>
            <w:tcW w:w="2706" w:type="dxa"/>
          </w:tcPr>
          <w:p w:rsidR="00E73469" w:rsidRPr="00745668" w:rsidRDefault="00E73469" w:rsidP="00E73469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 review (</w:t>
            </w:r>
            <w:r>
              <w:rPr>
                <w:rFonts w:ascii="Calibri" w:hAnsi="Calibri"/>
                <w:sz w:val="20"/>
                <w:szCs w:val="20"/>
              </w:rPr>
              <w:t>final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324" w:type="dxa"/>
          </w:tcPr>
          <w:p w:rsidR="00E73469" w:rsidRPr="00745668" w:rsidRDefault="00E73469" w:rsidP="001F3060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Random Sampling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73469" w:rsidRPr="00745668" w:rsidTr="00E73469">
        <w:trPr>
          <w:trHeight w:val="287"/>
        </w:trPr>
        <w:tc>
          <w:tcPr>
            <w:tcW w:w="3348" w:type="dxa"/>
          </w:tcPr>
          <w:p w:rsidR="00E73469" w:rsidRDefault="00E73469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document review</w:t>
            </w:r>
            <w:r>
              <w:rPr>
                <w:rFonts w:ascii="Calibri" w:hAnsi="Calibri"/>
                <w:sz w:val="20"/>
                <w:szCs w:val="20"/>
              </w:rPr>
              <w:t xml:space="preserve"> and interview</w:t>
            </w:r>
          </w:p>
        </w:tc>
        <w:tc>
          <w:tcPr>
            <w:tcW w:w="2706" w:type="dxa"/>
          </w:tcPr>
          <w:p w:rsidR="00E73469" w:rsidRPr="00745668" w:rsidRDefault="00E73469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Member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and host site </w:t>
            </w:r>
            <w:r>
              <w:rPr>
                <w:rFonts w:ascii="Calibri" w:hAnsi="Calibri"/>
                <w:sz w:val="20"/>
                <w:szCs w:val="20"/>
              </w:rPr>
              <w:t>interviews</w:t>
            </w:r>
          </w:p>
        </w:tc>
        <w:tc>
          <w:tcPr>
            <w:tcW w:w="3324" w:type="dxa"/>
          </w:tcPr>
          <w:p w:rsidR="00E73469" w:rsidRPr="00745668" w:rsidRDefault="00E73469" w:rsidP="00EB3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45B28" w:rsidRPr="00501DEA" w:rsidRDefault="00145B28" w:rsidP="00CB2CDC">
      <w:pPr>
        <w:rPr>
          <w:rFonts w:asciiTheme="minorHAnsi" w:hAnsiTheme="minorHAnsi" w:cs="Arial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040"/>
        <w:gridCol w:w="2160"/>
      </w:tblGrid>
      <w:tr w:rsidR="003009D1" w:rsidRPr="00745668" w:rsidTr="003009D1">
        <w:tc>
          <w:tcPr>
            <w:tcW w:w="1818" w:type="dxa"/>
            <w:shd w:val="clear" w:color="auto" w:fill="D9D9D9"/>
          </w:tcPr>
          <w:p w:rsidR="003009D1" w:rsidRPr="00745668" w:rsidRDefault="003009D1" w:rsidP="00145B2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745668">
              <w:rPr>
                <w:rFonts w:ascii="Calibri" w:hAnsi="Calibri"/>
                <w:b/>
                <w:sz w:val="22"/>
                <w:szCs w:val="20"/>
              </w:rPr>
              <w:t>PROCESS</w:t>
            </w:r>
          </w:p>
        </w:tc>
        <w:tc>
          <w:tcPr>
            <w:tcW w:w="5040" w:type="dxa"/>
            <w:shd w:val="clear" w:color="auto" w:fill="D9D9D9"/>
          </w:tcPr>
          <w:p w:rsidR="003009D1" w:rsidRPr="00745668" w:rsidRDefault="003009D1" w:rsidP="00145B2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745668">
              <w:rPr>
                <w:rFonts w:ascii="Calibri" w:hAnsi="Calibri"/>
                <w:b/>
                <w:sz w:val="22"/>
                <w:szCs w:val="20"/>
              </w:rPr>
              <w:t>COMPONENTS</w:t>
            </w:r>
          </w:p>
        </w:tc>
        <w:tc>
          <w:tcPr>
            <w:tcW w:w="2160" w:type="dxa"/>
            <w:shd w:val="clear" w:color="auto" w:fill="D9D9D9"/>
          </w:tcPr>
          <w:p w:rsidR="003009D1" w:rsidRPr="00745668" w:rsidRDefault="003009D1" w:rsidP="00145B2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745668">
              <w:rPr>
                <w:rFonts w:ascii="Calibri" w:hAnsi="Calibri"/>
                <w:b/>
                <w:sz w:val="22"/>
                <w:szCs w:val="20"/>
              </w:rPr>
              <w:t>WHO RECEIVES IT</w:t>
            </w:r>
          </w:p>
        </w:tc>
      </w:tr>
      <w:tr w:rsidR="003009D1" w:rsidRPr="00745668" w:rsidTr="003009D1">
        <w:tc>
          <w:tcPr>
            <w:tcW w:w="1818" w:type="dxa"/>
          </w:tcPr>
          <w:p w:rsidR="00E73469" w:rsidRDefault="00E73469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PORTFOLIO</w:t>
            </w:r>
          </w:p>
          <w:p w:rsidR="003009D1" w:rsidRPr="00745668" w:rsidRDefault="003009D1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>RISK ASSESSMENT</w:t>
            </w:r>
          </w:p>
        </w:tc>
        <w:tc>
          <w:tcPr>
            <w:tcW w:w="5040" w:type="dxa"/>
          </w:tcPr>
          <w:p w:rsidR="003009D1" w:rsidRDefault="003009D1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Portfolio risk assessment is conducted twice a year</w:t>
            </w:r>
          </w:p>
          <w:p w:rsidR="002F7F94" w:rsidRDefault="002F7F94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Designed to assess sub-grantees on the basis of inherent</w:t>
            </w:r>
            <w:r w:rsidR="00786ADF">
              <w:rPr>
                <w:rFonts w:ascii="Calibri" w:hAnsi="Calibri"/>
                <w:sz w:val="20"/>
                <w:szCs w:val="20"/>
              </w:rPr>
              <w:t xml:space="preserve"> and</w:t>
            </w:r>
            <w:r>
              <w:rPr>
                <w:rFonts w:ascii="Calibri" w:hAnsi="Calibri"/>
                <w:sz w:val="20"/>
                <w:szCs w:val="20"/>
              </w:rPr>
              <w:t xml:space="preserve"> on-going risks</w:t>
            </w:r>
          </w:p>
          <w:p w:rsidR="002F7F94" w:rsidRPr="00745668" w:rsidRDefault="002F7F94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Informs the portfolio monitoring plan</w:t>
            </w:r>
          </w:p>
        </w:tc>
        <w:tc>
          <w:tcPr>
            <w:tcW w:w="2160" w:type="dxa"/>
            <w:vAlign w:val="center"/>
          </w:tcPr>
          <w:p w:rsidR="003009D1" w:rsidRPr="00745668" w:rsidRDefault="003009D1" w:rsidP="00145B28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sub-grantees are included in the portfolio risk assessment.</w:t>
            </w:r>
          </w:p>
          <w:p w:rsidR="003009D1" w:rsidRPr="00745668" w:rsidRDefault="003009D1" w:rsidP="00145B28">
            <w:pPr>
              <w:rPr>
                <w:rFonts w:ascii="Calibri" w:hAnsi="Calibri"/>
                <w:b/>
                <w:color w:val="C0504D"/>
                <w:sz w:val="20"/>
                <w:szCs w:val="20"/>
              </w:rPr>
            </w:pPr>
          </w:p>
        </w:tc>
      </w:tr>
      <w:tr w:rsidR="003009D1" w:rsidRPr="00745668" w:rsidTr="003009D1">
        <w:tc>
          <w:tcPr>
            <w:tcW w:w="1818" w:type="dxa"/>
          </w:tcPr>
          <w:p w:rsidR="003009D1" w:rsidRPr="00745668" w:rsidRDefault="003009D1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>MONTHLY CALLS</w:t>
            </w:r>
          </w:p>
        </w:tc>
        <w:tc>
          <w:tcPr>
            <w:tcW w:w="5040" w:type="dxa"/>
          </w:tcPr>
          <w:p w:rsidR="003009D1" w:rsidRPr="00745668" w:rsidRDefault="003009D1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Phone conversations used to discuss any issues, keep current of sub-grantee activities, and ensure consistent communication</w:t>
            </w:r>
          </w:p>
        </w:tc>
        <w:tc>
          <w:tcPr>
            <w:tcW w:w="2160" w:type="dxa"/>
            <w:vAlign w:val="center"/>
          </w:tcPr>
          <w:p w:rsidR="003009D1" w:rsidRPr="00745668" w:rsidRDefault="003009D1" w:rsidP="00145B28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sub-grantees receive monthly calls</w:t>
            </w:r>
            <w:r w:rsidR="008B451C">
              <w:rPr>
                <w:rFonts w:ascii="Calibri" w:hAnsi="Calibri"/>
                <w:sz w:val="20"/>
                <w:szCs w:val="20"/>
              </w:rPr>
              <w:t xml:space="preserve"> but frequency and length varies.</w:t>
            </w:r>
          </w:p>
          <w:p w:rsidR="003009D1" w:rsidRPr="00745668" w:rsidRDefault="003009D1" w:rsidP="00145B28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3009D1" w:rsidRPr="00745668" w:rsidTr="003009D1">
        <w:tc>
          <w:tcPr>
            <w:tcW w:w="1818" w:type="dxa"/>
          </w:tcPr>
          <w:p w:rsidR="003009D1" w:rsidRPr="00745668" w:rsidRDefault="00786ADF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 DOCUMENT REVIEW AND INTERVIEW</w:t>
            </w:r>
          </w:p>
        </w:tc>
        <w:tc>
          <w:tcPr>
            <w:tcW w:w="5040" w:type="dxa"/>
          </w:tcPr>
          <w:p w:rsidR="003009D1" w:rsidRPr="00745668" w:rsidRDefault="003009D1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Ensure that the sub-grantee</w:t>
            </w:r>
            <w:r w:rsidR="00786ADF">
              <w:rPr>
                <w:rFonts w:ascii="Calibri" w:hAnsi="Calibri"/>
                <w:sz w:val="20"/>
                <w:szCs w:val="20"/>
              </w:rPr>
              <w:t xml:space="preserve"> has compliant member documents including member </w:t>
            </w:r>
            <w:r w:rsidR="008B451C">
              <w:rPr>
                <w:rFonts w:ascii="Calibri" w:hAnsi="Calibri"/>
                <w:sz w:val="20"/>
                <w:szCs w:val="20"/>
              </w:rPr>
              <w:t>service agreement</w:t>
            </w:r>
            <w:r w:rsidR="00E73469">
              <w:rPr>
                <w:rFonts w:ascii="Calibri" w:hAnsi="Calibri"/>
                <w:sz w:val="20"/>
                <w:szCs w:val="20"/>
              </w:rPr>
              <w:t>s</w:t>
            </w:r>
            <w:r w:rsidR="008B451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6ADF">
              <w:rPr>
                <w:rFonts w:ascii="Calibri" w:hAnsi="Calibri"/>
                <w:sz w:val="20"/>
                <w:szCs w:val="20"/>
              </w:rPr>
              <w:t>(including grievance procedure)</w:t>
            </w:r>
            <w:r w:rsidR="00E73469">
              <w:rPr>
                <w:rFonts w:ascii="Calibri" w:hAnsi="Calibri"/>
                <w:sz w:val="20"/>
                <w:szCs w:val="20"/>
              </w:rPr>
              <w:t>, position descriptions,</w:t>
            </w:r>
            <w:r w:rsidR="00786ADF">
              <w:rPr>
                <w:rFonts w:ascii="Calibri" w:hAnsi="Calibri"/>
                <w:sz w:val="20"/>
                <w:szCs w:val="20"/>
              </w:rPr>
              <w:t xml:space="preserve"> and  member timesheet</w:t>
            </w:r>
          </w:p>
          <w:p w:rsidR="003009D1" w:rsidRPr="00745668" w:rsidRDefault="00786ADF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Understand how the program fits into the organizational structure to ensure proper programmatic oversight</w:t>
            </w:r>
          </w:p>
          <w:p w:rsidR="003009D1" w:rsidRPr="00745668" w:rsidRDefault="00786ADF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Ensure living allowance and member start dates are in compliance with policies and regulations</w:t>
            </w:r>
          </w:p>
          <w:p w:rsidR="003009D1" w:rsidRPr="00745668" w:rsidRDefault="00786ADF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Gain an understanding of the program’s approach to member management including </w:t>
            </w:r>
            <w:r w:rsidR="00872FF3">
              <w:rPr>
                <w:rFonts w:ascii="Calibri" w:hAnsi="Calibri"/>
                <w:sz w:val="20"/>
                <w:szCs w:val="20"/>
              </w:rPr>
              <w:t xml:space="preserve">disciplinary policies </w:t>
            </w:r>
          </w:p>
        </w:tc>
        <w:tc>
          <w:tcPr>
            <w:tcW w:w="2160" w:type="dxa"/>
            <w:vAlign w:val="center"/>
          </w:tcPr>
          <w:p w:rsidR="003009D1" w:rsidRPr="00745668" w:rsidRDefault="003009D1" w:rsidP="00145B28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sub-grantees receive</w:t>
            </w:r>
            <w:r w:rsidR="00786ADF">
              <w:rPr>
                <w:rFonts w:ascii="Calibri" w:hAnsi="Calibri"/>
                <w:sz w:val="20"/>
                <w:szCs w:val="20"/>
              </w:rPr>
              <w:t xml:space="preserve"> a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6ADF">
              <w:rPr>
                <w:rFonts w:ascii="Calibri" w:hAnsi="Calibri"/>
                <w:sz w:val="20"/>
                <w:szCs w:val="20"/>
              </w:rPr>
              <w:t>Program Document Review (the scope may vary depending on risk – see Program Document Review policy for more detail)</w:t>
            </w:r>
          </w:p>
          <w:p w:rsidR="003009D1" w:rsidRPr="00745668" w:rsidRDefault="003009D1" w:rsidP="00145B28">
            <w:pPr>
              <w:rPr>
                <w:rFonts w:ascii="Calibri" w:hAnsi="Calibri"/>
                <w:sz w:val="20"/>
                <w:szCs w:val="20"/>
              </w:rPr>
            </w:pPr>
          </w:p>
          <w:p w:rsidR="003009D1" w:rsidRPr="00745668" w:rsidRDefault="003009D1" w:rsidP="00786A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09D1" w:rsidRPr="00745668" w:rsidTr="003009D1">
        <w:trPr>
          <w:cantSplit/>
        </w:trPr>
        <w:tc>
          <w:tcPr>
            <w:tcW w:w="1818" w:type="dxa"/>
          </w:tcPr>
          <w:p w:rsidR="003009D1" w:rsidRPr="00745668" w:rsidRDefault="00872FF3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APR REVIEW</w:t>
            </w:r>
            <w:r w:rsidR="00A07F7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5C0A7E">
              <w:rPr>
                <w:rFonts w:ascii="Calibri" w:hAnsi="Calibri"/>
                <w:b/>
                <w:sz w:val="20"/>
                <w:szCs w:val="20"/>
              </w:rPr>
              <w:t>M</w:t>
            </w:r>
            <w:r w:rsidR="00A07F76">
              <w:rPr>
                <w:rFonts w:ascii="Calibri" w:hAnsi="Calibri"/>
                <w:b/>
                <w:sz w:val="20"/>
                <w:szCs w:val="20"/>
              </w:rPr>
              <w:t>id</w:t>
            </w:r>
            <w:r w:rsidR="00EB3805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A07F76">
              <w:rPr>
                <w:rFonts w:ascii="Calibri" w:hAnsi="Calibri"/>
                <w:b/>
                <w:sz w:val="20"/>
                <w:szCs w:val="20"/>
              </w:rPr>
              <w:t xml:space="preserve"> year)</w:t>
            </w:r>
          </w:p>
        </w:tc>
        <w:tc>
          <w:tcPr>
            <w:tcW w:w="5040" w:type="dxa"/>
          </w:tcPr>
          <w:p w:rsidR="00A07F76" w:rsidRDefault="003009D1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 xml:space="preserve">Review </w:t>
            </w:r>
            <w:r w:rsidR="00A07F76">
              <w:rPr>
                <w:rFonts w:ascii="Calibri" w:hAnsi="Calibri"/>
                <w:sz w:val="20"/>
                <w:szCs w:val="20"/>
              </w:rPr>
              <w:t>progress to da</w:t>
            </w:r>
            <w:r w:rsidR="00EB3805">
              <w:rPr>
                <w:rFonts w:ascii="Calibri" w:hAnsi="Calibri"/>
                <w:sz w:val="20"/>
                <w:szCs w:val="20"/>
              </w:rPr>
              <w:t>te on performance measures (mid-</w:t>
            </w:r>
            <w:r w:rsidR="00A07F76">
              <w:rPr>
                <w:rFonts w:ascii="Calibri" w:hAnsi="Calibri"/>
                <w:sz w:val="20"/>
                <w:szCs w:val="20"/>
              </w:rPr>
              <w:t>year)</w:t>
            </w:r>
          </w:p>
          <w:p w:rsidR="00A07F76" w:rsidRPr="00A07F76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member enrollment and retention rate to date</w:t>
            </w:r>
          </w:p>
          <w:p w:rsidR="003009D1" w:rsidRPr="00745668" w:rsidRDefault="003009D1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 xml:space="preserve">Review </w:t>
            </w:r>
            <w:r w:rsidR="00A07F76">
              <w:rPr>
                <w:rFonts w:ascii="Calibri" w:hAnsi="Calibri"/>
                <w:sz w:val="20"/>
                <w:szCs w:val="20"/>
              </w:rPr>
              <w:t>member enrollment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 and exit</w:t>
            </w:r>
            <w:r w:rsidR="00A07F76">
              <w:rPr>
                <w:rFonts w:ascii="Calibri" w:hAnsi="Calibri"/>
                <w:sz w:val="20"/>
                <w:szCs w:val="20"/>
              </w:rPr>
              <w:t xml:space="preserve"> approval cycle time</w:t>
            </w:r>
            <w:r w:rsidR="0094558E">
              <w:rPr>
                <w:rFonts w:ascii="Calibri" w:hAnsi="Calibri"/>
                <w:sz w:val="20"/>
                <w:szCs w:val="20"/>
              </w:rPr>
              <w:t>s</w:t>
            </w:r>
          </w:p>
          <w:p w:rsidR="003009D1" w:rsidRPr="00745668" w:rsidRDefault="00A07F7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Review and discuss any programmatic challenges and strengths </w:t>
            </w:r>
          </w:p>
        </w:tc>
        <w:tc>
          <w:tcPr>
            <w:tcW w:w="2160" w:type="dxa"/>
            <w:vAlign w:val="center"/>
          </w:tcPr>
          <w:p w:rsidR="003009D1" w:rsidRPr="00745668" w:rsidRDefault="003009D1" w:rsidP="00A07F76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</w:t>
            </w:r>
            <w:r w:rsidR="00872FF3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sub-grantees are required to submit </w:t>
            </w:r>
            <w:r w:rsidR="00872FF3">
              <w:rPr>
                <w:rFonts w:ascii="Calibri" w:hAnsi="Calibri"/>
                <w:sz w:val="20"/>
                <w:szCs w:val="20"/>
              </w:rPr>
              <w:t>an APR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07F76" w:rsidRPr="00745668" w:rsidTr="003009D1">
        <w:trPr>
          <w:cantSplit/>
        </w:trPr>
        <w:tc>
          <w:tcPr>
            <w:tcW w:w="1818" w:type="dxa"/>
          </w:tcPr>
          <w:p w:rsidR="00A07F76" w:rsidRPr="00745668" w:rsidRDefault="00A07F76" w:rsidP="00A07F7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APR REVIEW (Final)</w:t>
            </w:r>
          </w:p>
        </w:tc>
        <w:tc>
          <w:tcPr>
            <w:tcW w:w="5040" w:type="dxa"/>
          </w:tcPr>
          <w:p w:rsidR="00A07F76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 xml:space="preserve">Review </w:t>
            </w:r>
            <w:r>
              <w:rPr>
                <w:rFonts w:ascii="Calibri" w:hAnsi="Calibri"/>
                <w:sz w:val="20"/>
                <w:szCs w:val="20"/>
              </w:rPr>
              <w:t>final data on performance measures (met/unmet)</w:t>
            </w:r>
          </w:p>
          <w:p w:rsidR="00A07F76" w:rsidRPr="00A07F76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Review final member enrollment and retention rate </w:t>
            </w:r>
          </w:p>
          <w:p w:rsidR="00A07F76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 xml:space="preserve">Review </w:t>
            </w:r>
            <w:r>
              <w:rPr>
                <w:rFonts w:ascii="Calibri" w:hAnsi="Calibri"/>
                <w:sz w:val="20"/>
                <w:szCs w:val="20"/>
              </w:rPr>
              <w:t xml:space="preserve">member enrollment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and exit </w:t>
            </w:r>
            <w:r>
              <w:rPr>
                <w:rFonts w:ascii="Calibri" w:hAnsi="Calibri"/>
                <w:sz w:val="20"/>
                <w:szCs w:val="20"/>
              </w:rPr>
              <w:t>approval cycle time</w:t>
            </w:r>
            <w:r w:rsidR="0094558E">
              <w:rPr>
                <w:rFonts w:ascii="Calibri" w:hAnsi="Calibri"/>
                <w:sz w:val="20"/>
                <w:szCs w:val="20"/>
              </w:rPr>
              <w:t>s</w:t>
            </w:r>
          </w:p>
          <w:p w:rsidR="00A07F76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Review member exit </w:t>
            </w:r>
            <w:r w:rsidR="005C0A7E">
              <w:rPr>
                <w:rFonts w:ascii="Calibri" w:hAnsi="Calibri"/>
                <w:sz w:val="20"/>
                <w:szCs w:val="20"/>
              </w:rPr>
              <w:t xml:space="preserve">approval </w:t>
            </w:r>
            <w:r>
              <w:rPr>
                <w:rFonts w:ascii="Calibri" w:hAnsi="Calibri"/>
                <w:sz w:val="20"/>
                <w:szCs w:val="20"/>
              </w:rPr>
              <w:t>cycle time</w:t>
            </w:r>
          </w:p>
          <w:p w:rsidR="00A07F76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training and development activities</w:t>
            </w:r>
          </w:p>
          <w:p w:rsidR="00A07F76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program accomplishments, challenges, community partnerships, as applicable</w:t>
            </w:r>
          </w:p>
          <w:p w:rsidR="00A07F76" w:rsidRPr="00745668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great stories</w:t>
            </w:r>
          </w:p>
          <w:p w:rsidR="00A07F76" w:rsidRPr="00745668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Review and discuss any programmatic challenges and strengths </w:t>
            </w:r>
          </w:p>
        </w:tc>
        <w:tc>
          <w:tcPr>
            <w:tcW w:w="2160" w:type="dxa"/>
            <w:vAlign w:val="center"/>
          </w:tcPr>
          <w:p w:rsidR="00A07F76" w:rsidRPr="00745668" w:rsidRDefault="00A07F76" w:rsidP="0094558E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sub-grantees are required to submit </w:t>
            </w:r>
            <w:r>
              <w:rPr>
                <w:rFonts w:ascii="Calibri" w:hAnsi="Calibri"/>
                <w:sz w:val="20"/>
                <w:szCs w:val="20"/>
              </w:rPr>
              <w:t>an APR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009D1" w:rsidRPr="00745668" w:rsidTr="003009D1">
        <w:trPr>
          <w:cantSplit/>
        </w:trPr>
        <w:tc>
          <w:tcPr>
            <w:tcW w:w="1818" w:type="dxa"/>
          </w:tcPr>
          <w:p w:rsidR="003009D1" w:rsidRPr="00745668" w:rsidRDefault="00A07F76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MEMBER </w:t>
            </w:r>
            <w:r w:rsidR="0094558E">
              <w:rPr>
                <w:rFonts w:ascii="Calibri" w:hAnsi="Calibri"/>
                <w:b/>
                <w:sz w:val="20"/>
                <w:szCs w:val="20"/>
              </w:rPr>
              <w:t xml:space="preserve">AND HOST SITE </w:t>
            </w:r>
            <w:r>
              <w:rPr>
                <w:rFonts w:ascii="Calibri" w:hAnsi="Calibri"/>
                <w:b/>
                <w:sz w:val="20"/>
                <w:szCs w:val="20"/>
              </w:rPr>
              <w:t>INTERVIEWS</w:t>
            </w:r>
          </w:p>
        </w:tc>
        <w:tc>
          <w:tcPr>
            <w:tcW w:w="5040" w:type="dxa"/>
          </w:tcPr>
          <w:p w:rsidR="00A07F76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Member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and host site </w:t>
            </w:r>
            <w:r>
              <w:rPr>
                <w:rFonts w:ascii="Calibri" w:hAnsi="Calibri"/>
                <w:sz w:val="20"/>
                <w:szCs w:val="20"/>
              </w:rPr>
              <w:t>interviews may take place as part of an on-site visit or via phone or a combination</w:t>
            </w:r>
          </w:p>
          <w:p w:rsidR="002147E6" w:rsidRDefault="002147E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Member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 and host site</w:t>
            </w:r>
            <w:r>
              <w:rPr>
                <w:rFonts w:ascii="Calibri" w:hAnsi="Calibri"/>
                <w:sz w:val="20"/>
                <w:szCs w:val="20"/>
              </w:rPr>
              <w:t xml:space="preserve"> interviews are conducted by OneStar staff</w:t>
            </w:r>
          </w:p>
          <w:p w:rsidR="00A07F76" w:rsidRDefault="00A07F7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group of members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and site(s) </w:t>
            </w:r>
            <w:r>
              <w:rPr>
                <w:rFonts w:ascii="Calibri" w:hAnsi="Calibri"/>
                <w:sz w:val="20"/>
                <w:szCs w:val="20"/>
              </w:rPr>
              <w:t>are randomly selected</w:t>
            </w:r>
            <w:r w:rsidR="002147E6">
              <w:rPr>
                <w:rFonts w:ascii="Calibri" w:hAnsi="Calibri"/>
                <w:sz w:val="20"/>
                <w:szCs w:val="20"/>
              </w:rPr>
              <w:t xml:space="preserve"> to be interviewed </w:t>
            </w:r>
          </w:p>
          <w:p w:rsidR="00A07F76" w:rsidRPr="00A07F76" w:rsidRDefault="002147E6" w:rsidP="00A07F76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Member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 and host site</w:t>
            </w:r>
            <w:r>
              <w:rPr>
                <w:rFonts w:ascii="Calibri" w:hAnsi="Calibri"/>
                <w:sz w:val="20"/>
                <w:szCs w:val="20"/>
              </w:rPr>
              <w:t xml:space="preserve"> interview questions may be general or targeted dependent on scope and reasons for the interviews (i.e. part of a routine site visit vs. responding to a member complaint)</w:t>
            </w:r>
          </w:p>
        </w:tc>
        <w:tc>
          <w:tcPr>
            <w:tcW w:w="2160" w:type="dxa"/>
            <w:vAlign w:val="center"/>
          </w:tcPr>
          <w:p w:rsidR="00A07F76" w:rsidRDefault="003009D1" w:rsidP="00A07F76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sub-grantees will receive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member and host site interviews </w:t>
            </w:r>
            <w:r w:rsidR="0094558E">
              <w:rPr>
                <w:rFonts w:ascii="Calibri" w:hAnsi="Calibri"/>
                <w:sz w:val="20"/>
                <w:szCs w:val="20"/>
              </w:rPr>
              <w:t>at least once during a 3-year project period.</w:t>
            </w:r>
          </w:p>
          <w:p w:rsidR="0094558E" w:rsidRDefault="0094558E" w:rsidP="00A07F76">
            <w:pPr>
              <w:rPr>
                <w:rFonts w:ascii="Calibri" w:hAnsi="Calibri"/>
                <w:sz w:val="20"/>
                <w:szCs w:val="20"/>
              </w:rPr>
            </w:pPr>
          </w:p>
          <w:p w:rsidR="00A07F76" w:rsidRPr="00745668" w:rsidRDefault="00A07F76" w:rsidP="00A07F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Member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 and host site</w:t>
            </w:r>
            <w:r>
              <w:rPr>
                <w:rFonts w:ascii="Calibri" w:hAnsi="Calibri"/>
                <w:sz w:val="20"/>
                <w:szCs w:val="20"/>
              </w:rPr>
              <w:t xml:space="preserve"> interviews may also be used as part of analyzing potentia</w:t>
            </w:r>
            <w:r w:rsidR="002147E6">
              <w:rPr>
                <w:rFonts w:ascii="Calibri" w:hAnsi="Calibri"/>
                <w:sz w:val="20"/>
                <w:szCs w:val="20"/>
              </w:rPr>
              <w:t xml:space="preserve">l risks in program management 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2147E6">
              <w:rPr>
                <w:rFonts w:ascii="Calibri" w:hAnsi="Calibri"/>
                <w:sz w:val="20"/>
                <w:szCs w:val="20"/>
              </w:rPr>
              <w:t xml:space="preserve"> responding to a member complaint,</w:t>
            </w:r>
            <w:r>
              <w:rPr>
                <w:rFonts w:ascii="Calibri" w:hAnsi="Calibri"/>
                <w:sz w:val="20"/>
                <w:szCs w:val="20"/>
              </w:rPr>
              <w:t xml:space="preserve"> or</w:t>
            </w:r>
            <w:r w:rsidR="002147E6">
              <w:rPr>
                <w:rFonts w:ascii="Calibri" w:hAnsi="Calibri"/>
                <w:sz w:val="20"/>
                <w:szCs w:val="20"/>
              </w:rPr>
              <w:t xml:space="preserve"> part of a corrective action plan</w:t>
            </w:r>
          </w:p>
          <w:p w:rsidR="003009D1" w:rsidRPr="00745668" w:rsidRDefault="003009D1" w:rsidP="00145B28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492D26" w:rsidRPr="00745668" w:rsidTr="003009D1">
        <w:trPr>
          <w:cantSplit/>
          <w:trHeight w:val="1025"/>
        </w:trPr>
        <w:tc>
          <w:tcPr>
            <w:tcW w:w="1818" w:type="dxa"/>
          </w:tcPr>
          <w:p w:rsidR="00492D26" w:rsidRPr="00745668" w:rsidRDefault="00492D26" w:rsidP="00E734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>SITE VISIT</w:t>
            </w:r>
            <w:r w:rsidR="00E73469">
              <w:rPr>
                <w:rFonts w:ascii="Calibri" w:hAnsi="Calibri"/>
                <w:b/>
                <w:sz w:val="20"/>
                <w:szCs w:val="20"/>
              </w:rPr>
              <w:t>S</w:t>
            </w:r>
          </w:p>
        </w:tc>
        <w:tc>
          <w:tcPr>
            <w:tcW w:w="5040" w:type="dxa"/>
          </w:tcPr>
          <w:p w:rsidR="00492D26" w:rsidRPr="00745668" w:rsidRDefault="00492D2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Pre-visit questions and documents may be requested of the sub-grantee</w:t>
            </w:r>
          </w:p>
          <w:p w:rsidR="00492D26" w:rsidRPr="00745668" w:rsidRDefault="00492D2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Staff interviews to understand systems and other issues as applicable to the grantee</w:t>
            </w:r>
          </w:p>
          <w:p w:rsidR="00492D26" w:rsidRDefault="0094558E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Includes </w:t>
            </w:r>
            <w:r w:rsidR="00492D26">
              <w:rPr>
                <w:rFonts w:ascii="Calibri" w:hAnsi="Calibri"/>
                <w:sz w:val="20"/>
                <w:szCs w:val="20"/>
              </w:rPr>
              <w:t xml:space="preserve">Member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="00492D26">
              <w:rPr>
                <w:rFonts w:ascii="Calibri" w:hAnsi="Calibri"/>
                <w:sz w:val="20"/>
                <w:szCs w:val="20"/>
              </w:rPr>
              <w:t xml:space="preserve">ile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="00492D26">
              <w:rPr>
                <w:rFonts w:ascii="Calibri" w:hAnsi="Calibri"/>
                <w:sz w:val="20"/>
                <w:szCs w:val="20"/>
              </w:rPr>
              <w:t>eview (see member file review policy for more detail</w:t>
            </w:r>
            <w:proofErr w:type="gramStart"/>
            <w:r w:rsidR="00492D26">
              <w:rPr>
                <w:rFonts w:ascii="Calibri" w:hAnsi="Calibri"/>
                <w:sz w:val="20"/>
                <w:szCs w:val="20"/>
              </w:rPr>
              <w:t>)  -</w:t>
            </w:r>
            <w:proofErr w:type="gramEnd"/>
            <w:r w:rsidR="00492D26">
              <w:rPr>
                <w:rFonts w:ascii="Calibri" w:hAnsi="Calibri"/>
                <w:sz w:val="20"/>
                <w:szCs w:val="20"/>
              </w:rPr>
              <w:t xml:space="preserve"> eligibility, evaluation, timesheets, </w:t>
            </w:r>
            <w:r>
              <w:rPr>
                <w:rFonts w:ascii="Calibri" w:hAnsi="Calibri"/>
                <w:sz w:val="20"/>
                <w:szCs w:val="20"/>
              </w:rPr>
              <w:t xml:space="preserve">criminal history checks, </w:t>
            </w:r>
            <w:r w:rsidR="00492D26">
              <w:rPr>
                <w:rFonts w:ascii="Calibri" w:hAnsi="Calibri"/>
                <w:sz w:val="20"/>
                <w:szCs w:val="20"/>
              </w:rPr>
              <w:t>etc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92D26" w:rsidRPr="00745668" w:rsidRDefault="00492D2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Member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 and host site </w:t>
            </w:r>
            <w:r>
              <w:rPr>
                <w:rFonts w:ascii="Calibri" w:hAnsi="Calibri"/>
                <w:sz w:val="20"/>
                <w:szCs w:val="20"/>
              </w:rPr>
              <w:t xml:space="preserve">interviews </w:t>
            </w:r>
            <w:r w:rsidR="0094558E">
              <w:rPr>
                <w:rFonts w:ascii="Calibri" w:hAnsi="Calibri"/>
                <w:sz w:val="20"/>
                <w:szCs w:val="20"/>
              </w:rPr>
              <w:t>(see above)</w:t>
            </w:r>
          </w:p>
          <w:p w:rsidR="00492D26" w:rsidRDefault="00492D2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Specific issue investigation (as applicable)</w:t>
            </w:r>
          </w:p>
          <w:p w:rsidR="006626BC" w:rsidRPr="00745668" w:rsidRDefault="006626BC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Associate Director, </w:t>
            </w:r>
            <w:r>
              <w:rPr>
                <w:rFonts w:ascii="Calibri" w:hAnsi="Calibri"/>
                <w:sz w:val="20"/>
                <w:szCs w:val="20"/>
              </w:rPr>
              <w:t>Project Coordinator</w:t>
            </w:r>
            <w:r w:rsidR="0094558E">
              <w:rPr>
                <w:rFonts w:ascii="Calibri" w:hAnsi="Calibri"/>
                <w:sz w:val="20"/>
                <w:szCs w:val="20"/>
              </w:rPr>
              <w:t>, or other OneStar staff</w:t>
            </w:r>
            <w:r>
              <w:rPr>
                <w:rFonts w:ascii="Calibri" w:hAnsi="Calibri"/>
                <w:sz w:val="20"/>
                <w:szCs w:val="20"/>
              </w:rPr>
              <w:t xml:space="preserve"> may go along on site visits as support or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perform some aspects of the member file </w:t>
            </w:r>
            <w:r>
              <w:rPr>
                <w:rFonts w:ascii="Calibri" w:hAnsi="Calibri"/>
                <w:sz w:val="20"/>
                <w:szCs w:val="20"/>
              </w:rPr>
              <w:t>review</w:t>
            </w:r>
            <w:r w:rsidR="005C0A7E">
              <w:rPr>
                <w:rFonts w:ascii="Calibri" w:hAnsi="Calibri"/>
                <w:sz w:val="20"/>
                <w:szCs w:val="20"/>
              </w:rPr>
              <w:t xml:space="preserve"> remotely</w:t>
            </w:r>
            <w:r>
              <w:rPr>
                <w:rFonts w:ascii="Calibri" w:hAnsi="Calibri"/>
                <w:sz w:val="20"/>
                <w:szCs w:val="20"/>
              </w:rPr>
              <w:t xml:space="preserve"> pre-visit (i.e. timekeeping).</w:t>
            </w:r>
          </w:p>
          <w:p w:rsidR="00492D26" w:rsidRPr="00745668" w:rsidRDefault="00492D26" w:rsidP="00145B28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92D26" w:rsidRDefault="00492D26" w:rsidP="00145B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504D"/>
                <w:sz w:val="20"/>
                <w:szCs w:val="20"/>
              </w:rPr>
              <w:t>*</w:t>
            </w:r>
            <w:r w:rsidRPr="00321A94">
              <w:rPr>
                <w:rFonts w:ascii="Calibri" w:hAnsi="Calibri"/>
                <w:b/>
                <w:color w:val="C0504D"/>
                <w:sz w:val="20"/>
                <w:szCs w:val="20"/>
              </w:rPr>
              <w:t>SUB-GRANTEE RISK LEVEL:</w:t>
            </w:r>
            <w:r>
              <w:rPr>
                <w:rFonts w:ascii="Calibri" w:hAnsi="Calibri"/>
                <w:sz w:val="20"/>
                <w:szCs w:val="20"/>
              </w:rPr>
              <w:t xml:space="preserve">  High – but all sub-grantees will receive an on-site visit at least once during a 3-year project period.</w:t>
            </w:r>
          </w:p>
          <w:p w:rsidR="00492D26" w:rsidRDefault="00492D26" w:rsidP="00145B28">
            <w:pPr>
              <w:rPr>
                <w:rFonts w:ascii="Calibri" w:hAnsi="Calibri"/>
                <w:sz w:val="20"/>
                <w:szCs w:val="20"/>
              </w:rPr>
            </w:pPr>
          </w:p>
          <w:p w:rsidR="00492D26" w:rsidRPr="00845420" w:rsidRDefault="00492D26" w:rsidP="00145B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be a strategy to monitor the progress of a program working within a corrective action plan</w:t>
            </w:r>
          </w:p>
          <w:p w:rsidR="00492D26" w:rsidRPr="00745668" w:rsidRDefault="00492D26" w:rsidP="00BD61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2D26" w:rsidRPr="00745668" w:rsidTr="003009D1">
        <w:trPr>
          <w:cantSplit/>
          <w:trHeight w:val="1025"/>
        </w:trPr>
        <w:tc>
          <w:tcPr>
            <w:tcW w:w="1818" w:type="dxa"/>
          </w:tcPr>
          <w:p w:rsidR="00492D26" w:rsidRPr="00745668" w:rsidRDefault="00492D26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lastRenderedPageBreak/>
              <w:t>RANDOM SAMPLING</w:t>
            </w:r>
          </w:p>
        </w:tc>
        <w:tc>
          <w:tcPr>
            <w:tcW w:w="5040" w:type="dxa"/>
          </w:tcPr>
          <w:p w:rsidR="00492D26" w:rsidRDefault="00492D2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Staff may use any of the above processes to conduct testing on sub-grantees</w:t>
            </w:r>
          </w:p>
          <w:p w:rsidR="00B47986" w:rsidRDefault="00B4798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 include any follow-up on site visits, issues identified through calls, high risk areas identified by portfolio trend analysis</w:t>
            </w:r>
          </w:p>
          <w:p w:rsidR="00B47986" w:rsidRDefault="00B4798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Examples include – sampling member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position descriptions, member </w:t>
            </w:r>
            <w:r>
              <w:rPr>
                <w:rFonts w:ascii="Calibri" w:hAnsi="Calibri"/>
                <w:sz w:val="20"/>
                <w:szCs w:val="20"/>
              </w:rPr>
              <w:t xml:space="preserve">eligibility documentation, </w:t>
            </w:r>
            <w:r w:rsidR="0094558E">
              <w:rPr>
                <w:rFonts w:ascii="Calibri" w:hAnsi="Calibri"/>
                <w:sz w:val="20"/>
                <w:szCs w:val="20"/>
              </w:rPr>
              <w:t>criminal history check documentation</w:t>
            </w:r>
            <w:r>
              <w:rPr>
                <w:rFonts w:ascii="Calibri" w:hAnsi="Calibri"/>
                <w:sz w:val="20"/>
                <w:szCs w:val="20"/>
              </w:rPr>
              <w:t>, etc</w:t>
            </w:r>
            <w:r w:rsidR="0094558E">
              <w:rPr>
                <w:rFonts w:ascii="Calibri" w:hAnsi="Calibri"/>
                <w:sz w:val="20"/>
                <w:szCs w:val="20"/>
              </w:rPr>
              <w:t>.</w:t>
            </w:r>
          </w:p>
          <w:p w:rsidR="006626BC" w:rsidRDefault="006626BC" w:rsidP="006626BC">
            <w:pPr>
              <w:numPr>
                <w:ilvl w:val="1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random sampling can be completed on</w:t>
            </w:r>
            <w:r w:rsidR="0094558E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site or 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via </w:t>
            </w:r>
            <w:r>
              <w:rPr>
                <w:rFonts w:ascii="Calibri" w:hAnsi="Calibri"/>
                <w:sz w:val="20"/>
                <w:szCs w:val="20"/>
              </w:rPr>
              <w:t>desk-based</w:t>
            </w:r>
            <w:r w:rsidR="0094558E">
              <w:rPr>
                <w:rFonts w:ascii="Calibri" w:hAnsi="Calibri"/>
                <w:sz w:val="20"/>
                <w:szCs w:val="20"/>
              </w:rPr>
              <w:t xml:space="preserve"> methods</w:t>
            </w:r>
          </w:p>
          <w:p w:rsidR="006626BC" w:rsidRPr="00745668" w:rsidRDefault="006626BC" w:rsidP="006626BC">
            <w:pPr>
              <w:numPr>
                <w:ilvl w:val="1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Project Coordinator can be a resource in coordinating and collecting documentation</w:t>
            </w:r>
          </w:p>
        </w:tc>
        <w:tc>
          <w:tcPr>
            <w:tcW w:w="2160" w:type="dxa"/>
            <w:vAlign w:val="center"/>
          </w:tcPr>
          <w:p w:rsidR="00492D26" w:rsidRDefault="00492D26" w:rsidP="00145B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504D"/>
                <w:sz w:val="20"/>
                <w:szCs w:val="20"/>
              </w:rPr>
              <w:t>*</w:t>
            </w:r>
            <w:r w:rsidRPr="00321A94"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SUB-GRANTEE RISK LEVEL: </w:t>
            </w:r>
            <w:r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Varies</w:t>
            </w:r>
          </w:p>
          <w:p w:rsidR="00492D26" w:rsidRDefault="00492D26" w:rsidP="00145B28">
            <w:pPr>
              <w:rPr>
                <w:rFonts w:ascii="Calibri" w:hAnsi="Calibri"/>
                <w:sz w:val="20"/>
                <w:szCs w:val="20"/>
              </w:rPr>
            </w:pPr>
          </w:p>
          <w:p w:rsidR="00492D26" w:rsidRPr="00BD614B" w:rsidRDefault="00492D26" w:rsidP="00BD614B">
            <w:pPr>
              <w:rPr>
                <w:rFonts w:ascii="Calibri" w:hAnsi="Calibri"/>
                <w:sz w:val="20"/>
                <w:szCs w:val="20"/>
              </w:rPr>
            </w:pPr>
            <w:r w:rsidRPr="00BD614B">
              <w:rPr>
                <w:rFonts w:ascii="Calibri" w:hAnsi="Calibri"/>
                <w:sz w:val="20"/>
                <w:szCs w:val="20"/>
              </w:rPr>
              <w:t xml:space="preserve">May be used as a strategy for high-risk grantees 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BD614B">
              <w:rPr>
                <w:rFonts w:ascii="Calibri" w:hAnsi="Calibri"/>
                <w:sz w:val="20"/>
                <w:szCs w:val="20"/>
              </w:rPr>
              <w:t>for those that are working within a corrective action plan</w:t>
            </w:r>
            <w:r>
              <w:rPr>
                <w:rFonts w:ascii="Calibri" w:hAnsi="Calibri"/>
                <w:sz w:val="20"/>
                <w:szCs w:val="20"/>
              </w:rPr>
              <w:t>, or other issues identified by OneStar</w:t>
            </w:r>
          </w:p>
          <w:p w:rsidR="00492D26" w:rsidRPr="00845420" w:rsidRDefault="00492D26" w:rsidP="00145B28">
            <w:pPr>
              <w:rPr>
                <w:rFonts w:ascii="Calibri" w:hAnsi="Calibri"/>
                <w:sz w:val="20"/>
                <w:szCs w:val="20"/>
              </w:rPr>
            </w:pPr>
          </w:p>
          <w:p w:rsidR="00492D26" w:rsidRDefault="00492D26" w:rsidP="00145B28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492D26" w:rsidRPr="00745668" w:rsidRDefault="00492D26" w:rsidP="00145B28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321A94" w:rsidRDefault="00321A94" w:rsidP="00CB2CDC">
      <w:pPr>
        <w:rPr>
          <w:rFonts w:ascii="Calibri" w:hAnsi="Calibri"/>
          <w:sz w:val="22"/>
          <w:szCs w:val="22"/>
        </w:rPr>
      </w:pPr>
    </w:p>
    <w:p w:rsidR="00E73469" w:rsidRPr="00501DEA" w:rsidRDefault="00E73469" w:rsidP="00E73469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High-Risk Sub-Grantees</w:t>
      </w:r>
      <w:r w:rsidRPr="00501DEA">
        <w:rPr>
          <w:rFonts w:asciiTheme="minorHAnsi" w:hAnsiTheme="minorHAnsi"/>
          <w:b/>
          <w:sz w:val="22"/>
          <w:u w:val="single"/>
        </w:rPr>
        <w:t>:</w:t>
      </w:r>
    </w:p>
    <w:p w:rsidR="00E73469" w:rsidRDefault="00E73469" w:rsidP="00E73469">
      <w:pPr>
        <w:rPr>
          <w:rFonts w:asciiTheme="minorHAnsi" w:hAnsiTheme="minorHAnsi" w:cs="Arial"/>
          <w:sz w:val="22"/>
          <w:szCs w:val="22"/>
        </w:rPr>
      </w:pPr>
    </w:p>
    <w:p w:rsidR="00E73469" w:rsidRDefault="00E73469" w:rsidP="00E734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High risk sub-grantees or sub-grantees that are put on a corrective action plan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may warrant additional monitoring processes. OneStar may expand the scope, conduct additional types of monitoring, increase frequency of monitoring, or a combination of these for th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type</w:t>
      </w:r>
      <w:r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of sub-grantee</w:t>
      </w:r>
      <w:r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. See OneStar’s High-Risk Grantee policy.</w:t>
      </w:r>
    </w:p>
    <w:p w:rsidR="00E73469" w:rsidRPr="00E73469" w:rsidRDefault="00E73469" w:rsidP="00CB2CDC">
      <w:pPr>
        <w:rPr>
          <w:rFonts w:ascii="Calibri" w:hAnsi="Calibri"/>
          <w:sz w:val="20"/>
          <w:szCs w:val="20"/>
        </w:rPr>
      </w:pPr>
    </w:p>
    <w:p w:rsidR="00845420" w:rsidRPr="00E73469" w:rsidRDefault="00845420" w:rsidP="00CB2CDC">
      <w:pPr>
        <w:rPr>
          <w:rFonts w:ascii="Calibri" w:hAnsi="Calibri"/>
          <w:sz w:val="20"/>
          <w:szCs w:val="20"/>
        </w:rPr>
      </w:pPr>
      <w:r w:rsidRPr="00E73469">
        <w:rPr>
          <w:rFonts w:ascii="Calibri" w:hAnsi="Calibri"/>
          <w:sz w:val="20"/>
          <w:szCs w:val="20"/>
        </w:rPr>
        <w:t>Low, Medium and</w:t>
      </w:r>
      <w:r w:rsidR="00FB3E02" w:rsidRPr="00E73469">
        <w:rPr>
          <w:rFonts w:ascii="Calibri" w:hAnsi="Calibri"/>
          <w:sz w:val="20"/>
          <w:szCs w:val="20"/>
        </w:rPr>
        <w:t xml:space="preserve"> High Risk designations for these</w:t>
      </w:r>
      <w:r w:rsidRPr="00E73469">
        <w:rPr>
          <w:rFonts w:ascii="Calibri" w:hAnsi="Calibri"/>
          <w:sz w:val="20"/>
          <w:szCs w:val="20"/>
        </w:rPr>
        <w:t xml:space="preserve"> methods of monito</w:t>
      </w:r>
      <w:r w:rsidR="00BD614B" w:rsidRPr="00E73469">
        <w:rPr>
          <w:rFonts w:ascii="Calibri" w:hAnsi="Calibri"/>
          <w:sz w:val="20"/>
          <w:szCs w:val="20"/>
        </w:rPr>
        <w:t xml:space="preserve">ring are </w:t>
      </w:r>
      <w:r w:rsidR="00FB3E02" w:rsidRPr="00E73469">
        <w:rPr>
          <w:rFonts w:ascii="Calibri" w:hAnsi="Calibri"/>
          <w:sz w:val="20"/>
          <w:szCs w:val="20"/>
        </w:rPr>
        <w:t>not fixed</w:t>
      </w:r>
      <w:r w:rsidR="00BD614B" w:rsidRPr="00E73469">
        <w:rPr>
          <w:rFonts w:ascii="Calibri" w:hAnsi="Calibri"/>
          <w:sz w:val="20"/>
          <w:szCs w:val="20"/>
        </w:rPr>
        <w:t xml:space="preserve">. </w:t>
      </w:r>
      <w:r w:rsidR="00EB3805" w:rsidRPr="00E73469">
        <w:rPr>
          <w:rFonts w:ascii="Calibri" w:hAnsi="Calibri"/>
          <w:sz w:val="20"/>
          <w:szCs w:val="20"/>
        </w:rPr>
        <w:t xml:space="preserve">Grants Officers (Program) </w:t>
      </w:r>
      <w:r w:rsidR="00FB3E02" w:rsidRPr="00E73469">
        <w:rPr>
          <w:rFonts w:ascii="Calibri" w:hAnsi="Calibri"/>
          <w:sz w:val="20"/>
          <w:szCs w:val="20"/>
        </w:rPr>
        <w:t>are highly encouraged to use their professional judgment</w:t>
      </w:r>
      <w:r w:rsidR="00BD614B" w:rsidRPr="00E73469">
        <w:rPr>
          <w:rFonts w:ascii="Calibri" w:hAnsi="Calibri"/>
          <w:sz w:val="20"/>
          <w:szCs w:val="20"/>
        </w:rPr>
        <w:t xml:space="preserve"> on the type of moni</w:t>
      </w:r>
      <w:r w:rsidR="00FB3E02" w:rsidRPr="00E73469">
        <w:rPr>
          <w:rFonts w:ascii="Calibri" w:hAnsi="Calibri"/>
          <w:sz w:val="20"/>
          <w:szCs w:val="20"/>
        </w:rPr>
        <w:t>toring that</w:t>
      </w:r>
      <w:r w:rsidR="00E73469">
        <w:rPr>
          <w:rFonts w:ascii="Calibri" w:hAnsi="Calibri"/>
          <w:sz w:val="20"/>
          <w:szCs w:val="20"/>
        </w:rPr>
        <w:t xml:space="preserve"> i</w:t>
      </w:r>
      <w:r w:rsidR="00FB3E02" w:rsidRPr="00E73469">
        <w:rPr>
          <w:rFonts w:ascii="Calibri" w:hAnsi="Calibri"/>
          <w:sz w:val="20"/>
          <w:szCs w:val="20"/>
        </w:rPr>
        <w:t>s needed for each sub-grantee.</w:t>
      </w:r>
    </w:p>
    <w:p w:rsidR="00FB3E02" w:rsidRPr="00E73469" w:rsidRDefault="00FB3E02" w:rsidP="00FB3E02">
      <w:pPr>
        <w:rPr>
          <w:rFonts w:asciiTheme="minorHAnsi" w:hAnsiTheme="minorHAnsi" w:cs="Arial"/>
          <w:b/>
          <w:sz w:val="20"/>
          <w:szCs w:val="20"/>
        </w:rPr>
      </w:pPr>
    </w:p>
    <w:p w:rsidR="00FB3E02" w:rsidRPr="00E73469" w:rsidRDefault="00FB3E02" w:rsidP="00FB3E02">
      <w:pPr>
        <w:shd w:val="clear" w:color="auto" w:fill="E6E6E6"/>
        <w:rPr>
          <w:rFonts w:asciiTheme="minorHAnsi" w:hAnsiTheme="minorHAnsi"/>
          <w:b/>
          <w:sz w:val="20"/>
          <w:szCs w:val="20"/>
        </w:rPr>
      </w:pPr>
      <w:r w:rsidRPr="00E73469">
        <w:rPr>
          <w:rFonts w:asciiTheme="minorHAnsi" w:hAnsiTheme="minorHAnsi"/>
          <w:b/>
          <w:sz w:val="20"/>
          <w:szCs w:val="20"/>
        </w:rPr>
        <w:t>Related Topics</w:t>
      </w:r>
    </w:p>
    <w:p w:rsidR="00FB3E02" w:rsidRPr="00E73469" w:rsidRDefault="00FB3E02" w:rsidP="00FB3E02">
      <w:pPr>
        <w:rPr>
          <w:rFonts w:asciiTheme="minorHAnsi" w:hAnsiTheme="minorHAnsi"/>
          <w:sz w:val="20"/>
          <w:szCs w:val="20"/>
        </w:rPr>
      </w:pPr>
    </w:p>
    <w:p w:rsidR="00FB3E02" w:rsidRPr="00E73469" w:rsidRDefault="00B47986" w:rsidP="00FB3E0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73469">
        <w:rPr>
          <w:rFonts w:asciiTheme="minorHAnsi" w:hAnsiTheme="minorHAnsi"/>
          <w:sz w:val="20"/>
          <w:szCs w:val="20"/>
        </w:rPr>
        <w:t>Program Document Review Process</w:t>
      </w:r>
    </w:p>
    <w:p w:rsidR="00FB3E02" w:rsidRPr="00E73469" w:rsidRDefault="00B47986" w:rsidP="00FB3E0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73469">
        <w:rPr>
          <w:rFonts w:asciiTheme="minorHAnsi" w:hAnsiTheme="minorHAnsi"/>
          <w:sz w:val="20"/>
          <w:szCs w:val="20"/>
        </w:rPr>
        <w:t>APR Review and Template</w:t>
      </w:r>
    </w:p>
    <w:p w:rsidR="00FB3E02" w:rsidRPr="00E73469" w:rsidRDefault="00B47986" w:rsidP="00FB3E0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73469">
        <w:rPr>
          <w:rFonts w:asciiTheme="minorHAnsi" w:hAnsiTheme="minorHAnsi"/>
          <w:sz w:val="20"/>
          <w:szCs w:val="20"/>
        </w:rPr>
        <w:t>Member File Review</w:t>
      </w:r>
    </w:p>
    <w:p w:rsidR="00FB3E02" w:rsidRPr="00E73469" w:rsidRDefault="00B47986" w:rsidP="00FB3E0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73469">
        <w:rPr>
          <w:rFonts w:asciiTheme="minorHAnsi" w:hAnsiTheme="minorHAnsi"/>
          <w:sz w:val="20"/>
          <w:szCs w:val="20"/>
        </w:rPr>
        <w:t>Sample member interview questions</w:t>
      </w:r>
    </w:p>
    <w:p w:rsidR="00FB3E02" w:rsidRPr="00E73469" w:rsidRDefault="00FB3E02" w:rsidP="00FB3E0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73469">
        <w:rPr>
          <w:rFonts w:asciiTheme="minorHAnsi" w:hAnsiTheme="minorHAnsi"/>
          <w:sz w:val="20"/>
          <w:szCs w:val="20"/>
        </w:rPr>
        <w:t>Portfolio Risk Assessment</w:t>
      </w:r>
    </w:p>
    <w:p w:rsidR="00FB3E02" w:rsidRPr="00E73469" w:rsidRDefault="0014633B" w:rsidP="00FB3E0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73469">
        <w:rPr>
          <w:rFonts w:asciiTheme="minorHAnsi" w:hAnsiTheme="minorHAnsi"/>
          <w:sz w:val="20"/>
          <w:szCs w:val="20"/>
        </w:rPr>
        <w:t>High Risk Grantee Policy</w:t>
      </w:r>
    </w:p>
    <w:p w:rsidR="0014633B" w:rsidRPr="00E73469" w:rsidRDefault="0014633B" w:rsidP="0014633B">
      <w:pPr>
        <w:pStyle w:val="ListParagraph"/>
        <w:rPr>
          <w:rFonts w:asciiTheme="minorHAnsi" w:hAnsiTheme="minorHAnsi"/>
          <w:sz w:val="20"/>
          <w:szCs w:val="20"/>
        </w:rPr>
      </w:pPr>
    </w:p>
    <w:p w:rsidR="002D19F2" w:rsidRPr="00E73469" w:rsidRDefault="002D19F2" w:rsidP="00CB2CDC">
      <w:pPr>
        <w:rPr>
          <w:rFonts w:asciiTheme="minorHAnsi" w:hAnsiTheme="minorHAnsi"/>
          <w:sz w:val="20"/>
          <w:szCs w:val="20"/>
        </w:rPr>
      </w:pPr>
    </w:p>
    <w:sectPr w:rsidR="002D19F2" w:rsidRPr="00E73469" w:rsidSect="00145B28">
      <w:headerReference w:type="default" r:id="rId9"/>
      <w:footerReference w:type="default" r:id="rId10"/>
      <w:pgSz w:w="12240" w:h="15840"/>
      <w:pgMar w:top="180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66" w:rsidRDefault="00C83666" w:rsidP="00E71968">
      <w:r>
        <w:separator/>
      </w:r>
    </w:p>
  </w:endnote>
  <w:endnote w:type="continuationSeparator" w:id="0">
    <w:p w:rsidR="00C83666" w:rsidRDefault="00C83666" w:rsidP="00E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964825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83666" w:rsidRPr="00501DEA" w:rsidRDefault="00C83666" w:rsidP="00501DEA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Last revised 06.</w:t>
            </w:r>
            <w:r w:rsidR="0094558E">
              <w:rPr>
                <w:rFonts w:asciiTheme="minorHAnsi" w:hAnsiTheme="minorHAnsi"/>
                <w:i/>
                <w:sz w:val="18"/>
                <w:szCs w:val="18"/>
              </w:rPr>
              <w:t>22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.1</w:t>
            </w:r>
            <w:r w:rsidR="0094558E"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  <w:t xml:space="preserve">   </w:t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4558E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4558E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83666" w:rsidRPr="00CB2CDC" w:rsidRDefault="00C83666">
    <w:pPr>
      <w:pStyle w:val="Footer"/>
      <w:rPr>
        <w:rFonts w:asciiTheme="minorHAnsi" w:hAnsiTheme="minorHAnsi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66" w:rsidRDefault="00C83666" w:rsidP="00E71968">
      <w:r>
        <w:separator/>
      </w:r>
    </w:p>
  </w:footnote>
  <w:footnote w:type="continuationSeparator" w:id="0">
    <w:p w:rsidR="00C83666" w:rsidRDefault="00C83666" w:rsidP="00E7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6" w:rsidRDefault="0094558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2pt;margin-top:1.35pt;width:262.2pt;height:39.75pt;z-index:251658240" filled="f" stroked="f">
          <v:textbox style="mso-next-textbox:#_x0000_s2049">
            <w:txbxContent>
              <w:p w:rsidR="00C83666" w:rsidRPr="002B6DF9" w:rsidRDefault="00C83666" w:rsidP="00960758">
                <w:pPr>
                  <w:jc w:val="right"/>
                  <w:rPr>
                    <w:rFonts w:ascii="Arial Bold" w:hAnsi="Arial Bold"/>
                    <w:color w:val="62A4C2"/>
                    <w:sz w:val="28"/>
                  </w:rPr>
                </w:pPr>
                <w:r>
                  <w:rPr>
                    <w:rFonts w:ascii="Arial Bold" w:hAnsi="Arial Bold"/>
                    <w:color w:val="62A4C2"/>
                    <w:sz w:val="28"/>
                  </w:rPr>
                  <w:t>AmeriCorps Policies + Procedures</w:t>
                </w:r>
              </w:p>
              <w:p w:rsidR="00C83666" w:rsidRPr="002B6DF9" w:rsidRDefault="00C83666" w:rsidP="00960758">
                <w:pPr>
                  <w:jc w:val="right"/>
                  <w:rPr>
                    <w:rFonts w:ascii="Arial Bold" w:hAnsi="Arial Bold"/>
                    <w:color w:val="62A4C2"/>
                    <w:sz w:val="32"/>
                  </w:rPr>
                </w:pPr>
                <w:r>
                  <w:rPr>
                    <w:rFonts w:ascii="Arial" w:hAnsi="Arial"/>
                    <w:color w:val="FF9900"/>
                  </w:rPr>
                  <w:t>Monitoring and Resolution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7B33D241" wp14:editId="0E15F40A">
          <wp:extent cx="1476375" cy="466725"/>
          <wp:effectExtent l="0" t="0" r="0" b="0"/>
          <wp:docPr id="1" name="Picture 1" descr="Logo-With Tag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th Tagline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9200"/>
                  <a:stretch/>
                </pic:blipFill>
                <pic:spPr bwMode="auto">
                  <a:xfrm>
                    <a:off x="0" y="0"/>
                    <a:ext cx="1480185" cy="467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pict>
        <v:line id="_x0000_s2050" style="position:absolute;z-index:251659264;mso-position-horizontal-relative:text;mso-position-vertical-relative:text" from="246pt,3.25pt" to="246pt,39.25p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3E"/>
    <w:multiLevelType w:val="hybridMultilevel"/>
    <w:tmpl w:val="BD66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0EF"/>
    <w:multiLevelType w:val="hybridMultilevel"/>
    <w:tmpl w:val="C5F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7EFE"/>
    <w:multiLevelType w:val="hybridMultilevel"/>
    <w:tmpl w:val="6E94C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636F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472C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0308"/>
    <w:multiLevelType w:val="hybridMultilevel"/>
    <w:tmpl w:val="F90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2423"/>
    <w:multiLevelType w:val="hybridMultilevel"/>
    <w:tmpl w:val="BE5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0119F"/>
    <w:multiLevelType w:val="hybridMultilevel"/>
    <w:tmpl w:val="5310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B6150"/>
    <w:multiLevelType w:val="hybridMultilevel"/>
    <w:tmpl w:val="E8940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67590"/>
    <w:multiLevelType w:val="hybridMultilevel"/>
    <w:tmpl w:val="BCB26FE4"/>
    <w:lvl w:ilvl="0" w:tplc="23EEB9E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38642E"/>
    <w:multiLevelType w:val="hybridMultilevel"/>
    <w:tmpl w:val="E76A5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E6309"/>
    <w:multiLevelType w:val="hybridMultilevel"/>
    <w:tmpl w:val="457E8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417852"/>
    <w:multiLevelType w:val="hybridMultilevel"/>
    <w:tmpl w:val="B88E9E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68"/>
    <w:rsid w:val="00083405"/>
    <w:rsid w:val="000953C5"/>
    <w:rsid w:val="000A361C"/>
    <w:rsid w:val="000C37A7"/>
    <w:rsid w:val="000C7AB2"/>
    <w:rsid w:val="00107709"/>
    <w:rsid w:val="00125C90"/>
    <w:rsid w:val="00145B28"/>
    <w:rsid w:val="0014633B"/>
    <w:rsid w:val="0017186C"/>
    <w:rsid w:val="001D1C88"/>
    <w:rsid w:val="001E1D99"/>
    <w:rsid w:val="002147E6"/>
    <w:rsid w:val="0021735B"/>
    <w:rsid w:val="0022307D"/>
    <w:rsid w:val="00271BBC"/>
    <w:rsid w:val="00271C74"/>
    <w:rsid w:val="002B15A2"/>
    <w:rsid w:val="002B7C31"/>
    <w:rsid w:val="002D19F2"/>
    <w:rsid w:val="002F7F94"/>
    <w:rsid w:val="003009D1"/>
    <w:rsid w:val="00307106"/>
    <w:rsid w:val="00312362"/>
    <w:rsid w:val="00317B0D"/>
    <w:rsid w:val="00321A94"/>
    <w:rsid w:val="003936AF"/>
    <w:rsid w:val="00437E04"/>
    <w:rsid w:val="004701F5"/>
    <w:rsid w:val="00492D26"/>
    <w:rsid w:val="004C4B70"/>
    <w:rsid w:val="00501DEA"/>
    <w:rsid w:val="005239ED"/>
    <w:rsid w:val="00526B9D"/>
    <w:rsid w:val="0053569E"/>
    <w:rsid w:val="00573069"/>
    <w:rsid w:val="005B1B46"/>
    <w:rsid w:val="005C0A7E"/>
    <w:rsid w:val="005D2B4F"/>
    <w:rsid w:val="005E64BB"/>
    <w:rsid w:val="00614839"/>
    <w:rsid w:val="006254F4"/>
    <w:rsid w:val="006626BC"/>
    <w:rsid w:val="0067159C"/>
    <w:rsid w:val="0070136B"/>
    <w:rsid w:val="0070257B"/>
    <w:rsid w:val="007405AC"/>
    <w:rsid w:val="00743E5A"/>
    <w:rsid w:val="00786ADF"/>
    <w:rsid w:val="007B09AC"/>
    <w:rsid w:val="00845420"/>
    <w:rsid w:val="008467BA"/>
    <w:rsid w:val="00872FF3"/>
    <w:rsid w:val="008B451C"/>
    <w:rsid w:val="008E0D6B"/>
    <w:rsid w:val="00901071"/>
    <w:rsid w:val="0094558E"/>
    <w:rsid w:val="0095427F"/>
    <w:rsid w:val="00960758"/>
    <w:rsid w:val="009B3957"/>
    <w:rsid w:val="009E0E5A"/>
    <w:rsid w:val="00A05A2C"/>
    <w:rsid w:val="00A07F76"/>
    <w:rsid w:val="00A11C4B"/>
    <w:rsid w:val="00A60A57"/>
    <w:rsid w:val="00A7531E"/>
    <w:rsid w:val="00AB1AB1"/>
    <w:rsid w:val="00B01D5E"/>
    <w:rsid w:val="00B23521"/>
    <w:rsid w:val="00B33783"/>
    <w:rsid w:val="00B34469"/>
    <w:rsid w:val="00B37E67"/>
    <w:rsid w:val="00B47986"/>
    <w:rsid w:val="00BD614B"/>
    <w:rsid w:val="00BF7DDE"/>
    <w:rsid w:val="00C4606B"/>
    <w:rsid w:val="00C50BC7"/>
    <w:rsid w:val="00C83666"/>
    <w:rsid w:val="00CB2CDC"/>
    <w:rsid w:val="00CF2920"/>
    <w:rsid w:val="00CF64F3"/>
    <w:rsid w:val="00D13819"/>
    <w:rsid w:val="00E02E86"/>
    <w:rsid w:val="00E71968"/>
    <w:rsid w:val="00E73469"/>
    <w:rsid w:val="00E9051E"/>
    <w:rsid w:val="00E95C03"/>
    <w:rsid w:val="00EA463B"/>
    <w:rsid w:val="00EA794A"/>
    <w:rsid w:val="00EB3805"/>
    <w:rsid w:val="00EC369A"/>
    <w:rsid w:val="00ED3466"/>
    <w:rsid w:val="00F211B7"/>
    <w:rsid w:val="00FB157D"/>
    <w:rsid w:val="00FB1F8B"/>
    <w:rsid w:val="00FB3E02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968"/>
    <w:pPr>
      <w:ind w:left="720"/>
      <w:contextualSpacing/>
    </w:pPr>
  </w:style>
  <w:style w:type="table" w:styleId="TableGrid">
    <w:name w:val="Table Grid"/>
    <w:basedOn w:val="TableNormal"/>
    <w:uiPriority w:val="59"/>
    <w:rsid w:val="0096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1A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2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28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410B-6412-4A61-BBDF-57AEBF1E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Frankenberger</dc:creator>
  <cp:keywords/>
  <dc:description/>
  <cp:lastModifiedBy>Emily Steinberg</cp:lastModifiedBy>
  <cp:revision>12</cp:revision>
  <cp:lastPrinted>2011-01-27T17:49:00Z</cp:lastPrinted>
  <dcterms:created xsi:type="dcterms:W3CDTF">2011-06-09T14:34:00Z</dcterms:created>
  <dcterms:modified xsi:type="dcterms:W3CDTF">2012-06-22T21:43:00Z</dcterms:modified>
</cp:coreProperties>
</file>