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8" w:rsidRPr="00E71968" w:rsidRDefault="00E71968" w:rsidP="00CB2CDC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B1AB1" w:rsidRDefault="00AB1AB1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145B28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Fiscal Monitoring Menu</w:t>
      </w:r>
    </w:p>
    <w:p w:rsidR="00CB2CDC" w:rsidRDefault="00CB2CDC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145B28" w:rsidP="00CB2CDC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:rsidR="00CB2CDC" w:rsidRDefault="00CB2CDC" w:rsidP="00CB2CDC">
      <w:pPr>
        <w:rPr>
          <w:rFonts w:asciiTheme="minorHAnsi" w:hAnsiTheme="minorHAnsi"/>
          <w:b/>
        </w:rPr>
      </w:pPr>
    </w:p>
    <w:p w:rsidR="00145B28" w:rsidRDefault="00145B28" w:rsidP="00145B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OneStar Foundation utilizes a variety of monitoring processes and tools to conduct fiscal oversight of its sub-grantees. The processes listed below include the different fiscal monitoring options that OneStar staff may use to monitor its sub-grantees. Some elements are required for all sub-grantees, while other options may be used for </w:t>
      </w:r>
      <w:r w:rsidR="0067159C">
        <w:rPr>
          <w:rFonts w:ascii="Calibri" w:hAnsi="Calibri"/>
          <w:sz w:val="20"/>
          <w:szCs w:val="20"/>
        </w:rPr>
        <w:t>sub-</w:t>
      </w:r>
      <w:r>
        <w:rPr>
          <w:rFonts w:ascii="Calibri" w:hAnsi="Calibri"/>
          <w:sz w:val="20"/>
          <w:szCs w:val="20"/>
        </w:rPr>
        <w:t xml:space="preserve">grantees depending on identified problem areas, scope, and/or risk factors. </w:t>
      </w:r>
    </w:p>
    <w:p w:rsidR="00CB2CDC" w:rsidRDefault="00CB2CDC" w:rsidP="00CB2CDC">
      <w:pPr>
        <w:rPr>
          <w:rFonts w:asciiTheme="minorHAnsi" w:hAnsiTheme="minorHAnsi"/>
        </w:rPr>
      </w:pPr>
    </w:p>
    <w:p w:rsidR="00501DEA" w:rsidRPr="00CB2CDC" w:rsidRDefault="00501DEA" w:rsidP="00501DEA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Category/Description of section</w:t>
      </w:r>
    </w:p>
    <w:p w:rsidR="00CB2CDC" w:rsidRPr="00CB2CDC" w:rsidRDefault="00CB2CDC" w:rsidP="00CB2CDC">
      <w:pPr>
        <w:rPr>
          <w:rFonts w:asciiTheme="minorHAnsi" w:hAnsiTheme="minorHAnsi"/>
        </w:rPr>
      </w:pPr>
    </w:p>
    <w:p w:rsidR="00CB2CDC" w:rsidRPr="00501DEA" w:rsidRDefault="00145B28" w:rsidP="00CB2CDC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All Sub-Grantees</w:t>
      </w:r>
      <w:r w:rsidR="00CB2CDC" w:rsidRPr="00501DEA">
        <w:rPr>
          <w:rFonts w:asciiTheme="minorHAnsi" w:hAnsiTheme="minorHAnsi"/>
          <w:b/>
          <w:sz w:val="22"/>
          <w:u w:val="single"/>
        </w:rPr>
        <w:t>:</w:t>
      </w:r>
    </w:p>
    <w:p w:rsidR="00145B28" w:rsidRDefault="00145B28" w:rsidP="00145B28">
      <w:pPr>
        <w:rPr>
          <w:rFonts w:ascii="Calibri" w:hAnsi="Calibri"/>
          <w:sz w:val="20"/>
          <w:szCs w:val="20"/>
        </w:rPr>
      </w:pPr>
    </w:p>
    <w:p w:rsidR="00E06B46" w:rsidRDefault="00145B28" w:rsidP="00145B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AmeriCorps*Texas operating sub-grantees (excluding Fixed Amount Grants and Education Award Programs) will undergo the following monitoring processes: </w:t>
      </w:r>
    </w:p>
    <w:p w:rsidR="00E06B46" w:rsidRDefault="00E06B46" w:rsidP="00145B28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349"/>
        <w:gridCol w:w="2706"/>
        <w:gridCol w:w="3323"/>
      </w:tblGrid>
      <w:tr w:rsidR="00145B28" w:rsidRPr="00745668" w:rsidTr="00145B28">
        <w:trPr>
          <w:trHeight w:val="271"/>
        </w:trPr>
        <w:tc>
          <w:tcPr>
            <w:tcW w:w="3600" w:type="dxa"/>
          </w:tcPr>
          <w:p w:rsidR="00145B28" w:rsidRPr="00745668" w:rsidRDefault="00145B28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Portfolio risk assessment</w:t>
            </w:r>
          </w:p>
        </w:tc>
        <w:tc>
          <w:tcPr>
            <w:tcW w:w="2880" w:type="dxa"/>
          </w:tcPr>
          <w:p w:rsidR="00145B28" w:rsidRPr="00745668" w:rsidRDefault="00E06B46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Monthly calls</w:t>
            </w:r>
          </w:p>
        </w:tc>
        <w:tc>
          <w:tcPr>
            <w:tcW w:w="3573" w:type="dxa"/>
          </w:tcPr>
          <w:p w:rsidR="00145B28" w:rsidRPr="00745668" w:rsidRDefault="00E06B46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Final PER monitoring</w:t>
            </w:r>
          </w:p>
        </w:tc>
      </w:tr>
      <w:tr w:rsidR="00E06B46" w:rsidRPr="00745668" w:rsidTr="00145B28">
        <w:trPr>
          <w:trHeight w:val="271"/>
        </w:trPr>
        <w:tc>
          <w:tcPr>
            <w:tcW w:w="3600" w:type="dxa"/>
          </w:tcPr>
          <w:p w:rsidR="00E06B46" w:rsidRPr="00745668" w:rsidRDefault="00E06B46" w:rsidP="00E06B46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Fiscal readiness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review</w:t>
            </w:r>
          </w:p>
        </w:tc>
        <w:tc>
          <w:tcPr>
            <w:tcW w:w="2880" w:type="dxa"/>
          </w:tcPr>
          <w:p w:rsidR="00E06B46" w:rsidRPr="00745668" w:rsidRDefault="00E06B46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Audit review</w:t>
            </w:r>
          </w:p>
        </w:tc>
        <w:tc>
          <w:tcPr>
            <w:tcW w:w="3573" w:type="dxa"/>
          </w:tcPr>
          <w:p w:rsidR="00E06B46" w:rsidRPr="00745668" w:rsidRDefault="00E06B46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Random sampling</w:t>
            </w:r>
          </w:p>
        </w:tc>
      </w:tr>
      <w:tr w:rsidR="00145B28" w:rsidRPr="00745668" w:rsidTr="00145B28">
        <w:trPr>
          <w:trHeight w:val="287"/>
        </w:trPr>
        <w:tc>
          <w:tcPr>
            <w:tcW w:w="3600" w:type="dxa"/>
          </w:tcPr>
          <w:p w:rsidR="00145B28" w:rsidRPr="00745668" w:rsidRDefault="00E06B46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PER processing review</w:t>
            </w:r>
          </w:p>
        </w:tc>
        <w:tc>
          <w:tcPr>
            <w:tcW w:w="2880" w:type="dxa"/>
          </w:tcPr>
          <w:p w:rsidR="00145B28" w:rsidRPr="00745668" w:rsidRDefault="00E06B46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Site visits</w:t>
            </w:r>
          </w:p>
        </w:tc>
        <w:tc>
          <w:tcPr>
            <w:tcW w:w="3573" w:type="dxa"/>
          </w:tcPr>
          <w:p w:rsidR="00145B28" w:rsidRPr="00745668" w:rsidRDefault="00145B28" w:rsidP="00145B28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45B28" w:rsidRDefault="00145B28" w:rsidP="00CB2CDC">
      <w:pPr>
        <w:rPr>
          <w:rFonts w:asciiTheme="minorHAnsi" w:hAnsiTheme="minorHAnsi" w:cs="Arial"/>
          <w:sz w:val="22"/>
          <w:szCs w:val="22"/>
        </w:rPr>
      </w:pPr>
    </w:p>
    <w:p w:rsidR="00145B28" w:rsidRPr="00501DEA" w:rsidRDefault="00145B28" w:rsidP="00CB2CDC">
      <w:pPr>
        <w:rPr>
          <w:rFonts w:asciiTheme="minorHAnsi" w:hAnsiTheme="minorHAnsi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040"/>
        <w:gridCol w:w="2160"/>
      </w:tblGrid>
      <w:tr w:rsidR="003009D1" w:rsidRPr="00745668" w:rsidTr="003009D1">
        <w:tc>
          <w:tcPr>
            <w:tcW w:w="1818" w:type="dxa"/>
            <w:shd w:val="clear" w:color="auto" w:fill="D9D9D9"/>
          </w:tcPr>
          <w:p w:rsidR="003009D1" w:rsidRPr="00745668" w:rsidRDefault="003009D1" w:rsidP="00145B2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45668">
              <w:rPr>
                <w:rFonts w:ascii="Calibri" w:hAnsi="Calibri"/>
                <w:b/>
                <w:sz w:val="22"/>
                <w:szCs w:val="20"/>
              </w:rPr>
              <w:t>PROCESS</w:t>
            </w:r>
          </w:p>
        </w:tc>
        <w:tc>
          <w:tcPr>
            <w:tcW w:w="5040" w:type="dxa"/>
            <w:shd w:val="clear" w:color="auto" w:fill="D9D9D9"/>
          </w:tcPr>
          <w:p w:rsidR="003009D1" w:rsidRPr="00745668" w:rsidRDefault="003009D1" w:rsidP="00145B2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45668">
              <w:rPr>
                <w:rFonts w:ascii="Calibri" w:hAnsi="Calibri"/>
                <w:b/>
                <w:sz w:val="22"/>
                <w:szCs w:val="20"/>
              </w:rPr>
              <w:t>COMPONENTS</w:t>
            </w:r>
          </w:p>
        </w:tc>
        <w:tc>
          <w:tcPr>
            <w:tcW w:w="2160" w:type="dxa"/>
            <w:shd w:val="clear" w:color="auto" w:fill="D9D9D9"/>
          </w:tcPr>
          <w:p w:rsidR="003009D1" w:rsidRPr="00745668" w:rsidRDefault="003009D1" w:rsidP="00145B2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745668">
              <w:rPr>
                <w:rFonts w:ascii="Calibri" w:hAnsi="Calibri"/>
                <w:b/>
                <w:sz w:val="22"/>
                <w:szCs w:val="20"/>
              </w:rPr>
              <w:t>WHO RECEIVES IT</w:t>
            </w:r>
          </w:p>
        </w:tc>
      </w:tr>
      <w:tr w:rsidR="003009D1" w:rsidRPr="00745668" w:rsidTr="001032C1">
        <w:trPr>
          <w:trHeight w:val="1097"/>
        </w:trPr>
        <w:tc>
          <w:tcPr>
            <w:tcW w:w="1818" w:type="dxa"/>
          </w:tcPr>
          <w:p w:rsidR="00E06B46" w:rsidRDefault="00E06B46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PORTFOLIO</w:t>
            </w:r>
          </w:p>
          <w:p w:rsidR="003009D1" w:rsidRPr="00745668" w:rsidRDefault="003009D1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RISK ASSESSMENT</w:t>
            </w:r>
          </w:p>
        </w:tc>
        <w:tc>
          <w:tcPr>
            <w:tcW w:w="5040" w:type="dxa"/>
          </w:tcPr>
          <w:p w:rsidR="003009D1" w:rsidRDefault="003009D1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Portfolio risk assessment is conducted twice a year</w:t>
            </w:r>
          </w:p>
          <w:p w:rsidR="002F7F94" w:rsidRDefault="002F7F94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Designed to assess sub-grantees on the basis of inherent, fiscal readiness and on-going risks</w:t>
            </w:r>
          </w:p>
          <w:p w:rsidR="002F7F94" w:rsidRPr="00745668" w:rsidRDefault="002F7F94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Informs the portfolio monitoring plan</w:t>
            </w:r>
          </w:p>
        </w:tc>
        <w:tc>
          <w:tcPr>
            <w:tcW w:w="2160" w:type="dxa"/>
            <w:vAlign w:val="center"/>
          </w:tcPr>
          <w:p w:rsidR="003009D1" w:rsidRPr="00745668" w:rsidRDefault="003009D1" w:rsidP="00145B28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are included in the portfolio risk assessment.</w:t>
            </w:r>
          </w:p>
          <w:p w:rsidR="003009D1" w:rsidRPr="00745668" w:rsidRDefault="003009D1" w:rsidP="00145B28">
            <w:pPr>
              <w:rPr>
                <w:rFonts w:ascii="Calibri" w:hAnsi="Calibri"/>
                <w:b/>
                <w:color w:val="C0504D"/>
                <w:sz w:val="20"/>
                <w:szCs w:val="20"/>
              </w:rPr>
            </w:pPr>
          </w:p>
        </w:tc>
      </w:tr>
      <w:tr w:rsidR="00E06B46" w:rsidRPr="00745668" w:rsidTr="003009D1">
        <w:tc>
          <w:tcPr>
            <w:tcW w:w="1818" w:type="dxa"/>
          </w:tcPr>
          <w:p w:rsidR="00E06B46" w:rsidRPr="00745668" w:rsidRDefault="00E06B46" w:rsidP="001F306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FISCAL READINESS REVIEW</w:t>
            </w:r>
          </w:p>
        </w:tc>
        <w:tc>
          <w:tcPr>
            <w:tcW w:w="5040" w:type="dxa"/>
          </w:tcPr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of fiscal policies and procedures to identify any red flags in systems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of cost allocation plan and indirect cost rate (if applicable)</w:t>
            </w:r>
          </w:p>
          <w:p w:rsidR="00E06B46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separation of duties</w:t>
            </w:r>
          </w:p>
          <w:p w:rsidR="001032C1" w:rsidRPr="00745668" w:rsidRDefault="001032C1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Fidelity Bond Coverage Form and Certification of Insurance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job descriptions of staff charged to the AmeriCorps grant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IRS 990</w:t>
            </w:r>
          </w:p>
          <w:p w:rsidR="00E06B46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organizational capacity survey updates</w:t>
            </w:r>
          </w:p>
          <w:p w:rsidR="008C39DD" w:rsidRPr="008C39DD" w:rsidRDefault="008C39DD" w:rsidP="001032C1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Audit review (see 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  <w:r w:rsidRPr="00745668">
              <w:rPr>
                <w:rFonts w:ascii="Calibri" w:hAnsi="Calibri"/>
                <w:sz w:val="20"/>
                <w:szCs w:val="20"/>
              </w:rPr>
              <w:t>Audit</w:t>
            </w:r>
            <w:r>
              <w:rPr>
                <w:rFonts w:ascii="Calibri" w:hAnsi="Calibri"/>
                <w:sz w:val="20"/>
                <w:szCs w:val="20"/>
              </w:rPr>
              <w:t xml:space="preserve"> review” below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for detail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4566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receive a </w:t>
            </w:r>
            <w:r>
              <w:rPr>
                <w:rFonts w:ascii="Calibri" w:hAnsi="Calibri"/>
                <w:sz w:val="20"/>
                <w:szCs w:val="20"/>
              </w:rPr>
              <w:t>Fiscal Readiness Review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annually. </w:t>
            </w:r>
          </w:p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</w:p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Components of the assessment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may be reviewed during the year if the need arises.</w:t>
            </w:r>
          </w:p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E06B46" w:rsidRPr="00745668" w:rsidTr="003009D1">
        <w:tc>
          <w:tcPr>
            <w:tcW w:w="1818" w:type="dxa"/>
          </w:tcPr>
          <w:p w:rsidR="00E06B46" w:rsidRPr="00745668" w:rsidRDefault="00E06B46" w:rsidP="001F30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PER PROCESSING REVIEW</w:t>
            </w:r>
          </w:p>
        </w:tc>
        <w:tc>
          <w:tcPr>
            <w:tcW w:w="5040" w:type="dxa"/>
          </w:tcPr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Ensure dates of PER are within budget period and that they are in consecutive order</w:t>
            </w:r>
          </w:p>
          <w:p w:rsidR="00E06B46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expenditure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to ensure </w:t>
            </w:r>
            <w:r>
              <w:rPr>
                <w:rFonts w:ascii="Calibri" w:hAnsi="Calibri"/>
                <w:sz w:val="20"/>
                <w:szCs w:val="20"/>
              </w:rPr>
              <w:t xml:space="preserve">that they are </w:t>
            </w:r>
            <w:r w:rsidRPr="00745668">
              <w:rPr>
                <w:rFonts w:ascii="Calibri" w:hAnsi="Calibri"/>
                <w:sz w:val="20"/>
                <w:szCs w:val="20"/>
              </w:rPr>
              <w:t>within variance allowance and budgeted amounts (including de-obligation)</w:t>
            </w:r>
          </w:p>
          <w:p w:rsidR="00AD4747" w:rsidRDefault="00AD4747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</w:t>
            </w:r>
            <w:r w:rsidR="00800404">
              <w:rPr>
                <w:rFonts w:ascii="Calibri" w:hAnsi="Calibri"/>
                <w:sz w:val="20"/>
                <w:szCs w:val="20"/>
              </w:rPr>
              <w:t>view for mathematical accuracy</w:t>
            </w:r>
          </w:p>
          <w:p w:rsidR="00AD4747" w:rsidRPr="00745668" w:rsidRDefault="00AD4747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compliance with the Commission Fixed Am</w:t>
            </w:r>
            <w:r w:rsidR="00800404">
              <w:rPr>
                <w:rFonts w:ascii="Calibri" w:hAnsi="Calibri"/>
                <w:sz w:val="20"/>
                <w:szCs w:val="20"/>
              </w:rPr>
              <w:t>ount administrative requirement</w:t>
            </w:r>
          </w:p>
          <w:p w:rsidR="00E06B46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Identify any trends that may need follow up</w:t>
            </w:r>
          </w:p>
          <w:p w:rsidR="008C39DD" w:rsidRPr="00745668" w:rsidRDefault="008C39DD" w:rsidP="008C39DD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lastRenderedPageBreak/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Each PER submitted by sub-grantees is reviewed in this manner.  </w:t>
            </w:r>
          </w:p>
          <w:p w:rsidR="00E06B46" w:rsidRPr="00745668" w:rsidRDefault="00E06B46" w:rsidP="001F3060">
            <w:pPr>
              <w:rPr>
                <w:rFonts w:ascii="Calibri" w:hAnsi="Calibri"/>
                <w:b/>
                <w:color w:val="C0504D"/>
                <w:sz w:val="20"/>
                <w:szCs w:val="20"/>
              </w:rPr>
            </w:pPr>
          </w:p>
        </w:tc>
      </w:tr>
      <w:tr w:rsidR="00E06B46" w:rsidRPr="00745668" w:rsidTr="003009D1">
        <w:tc>
          <w:tcPr>
            <w:tcW w:w="1818" w:type="dxa"/>
          </w:tcPr>
          <w:p w:rsidR="00E06B46" w:rsidRPr="00745668" w:rsidRDefault="00E06B46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lastRenderedPageBreak/>
              <w:t>MONTHLY CALLS</w:t>
            </w:r>
          </w:p>
        </w:tc>
        <w:tc>
          <w:tcPr>
            <w:tcW w:w="5040" w:type="dxa"/>
          </w:tcPr>
          <w:p w:rsidR="00E06B46" w:rsidRPr="00745668" w:rsidRDefault="00E06B4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Phone conversations used to discuss any issues, keep current of sub-grantee activities, and ensure consistent communication</w:t>
            </w:r>
          </w:p>
        </w:tc>
        <w:tc>
          <w:tcPr>
            <w:tcW w:w="2160" w:type="dxa"/>
            <w:vAlign w:val="center"/>
          </w:tcPr>
          <w:p w:rsidR="00E06B46" w:rsidRPr="00E06B46" w:rsidRDefault="00E06B46" w:rsidP="00145B28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receive monthly calls</w:t>
            </w:r>
          </w:p>
        </w:tc>
      </w:tr>
      <w:tr w:rsidR="00E06B46" w:rsidRPr="00745668" w:rsidTr="003009D1">
        <w:tc>
          <w:tcPr>
            <w:tcW w:w="1818" w:type="dxa"/>
          </w:tcPr>
          <w:p w:rsidR="00E06B46" w:rsidRPr="00745668" w:rsidRDefault="00E06B46" w:rsidP="001F30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 xml:space="preserve">AUDIT REVIEW </w:t>
            </w:r>
          </w:p>
          <w:p w:rsidR="00E06B46" w:rsidRPr="00745668" w:rsidRDefault="00E06B46" w:rsidP="001F30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(A-133 or Independent Financial Audit)</w:t>
            </w:r>
          </w:p>
        </w:tc>
        <w:tc>
          <w:tcPr>
            <w:tcW w:w="5040" w:type="dxa"/>
          </w:tcPr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schedule of Federal awards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any findings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management letter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Review opinion letters</w:t>
            </w:r>
          </w:p>
        </w:tc>
        <w:tc>
          <w:tcPr>
            <w:tcW w:w="2160" w:type="dxa"/>
            <w:vAlign w:val="center"/>
          </w:tcPr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are required to submit their most recent audits (A-133 or independent financial audit). </w:t>
            </w:r>
          </w:p>
        </w:tc>
      </w:tr>
      <w:tr w:rsidR="00E06B46" w:rsidRPr="00745668" w:rsidTr="003009D1">
        <w:trPr>
          <w:cantSplit/>
          <w:trHeight w:val="1025"/>
        </w:trPr>
        <w:tc>
          <w:tcPr>
            <w:tcW w:w="1818" w:type="dxa"/>
          </w:tcPr>
          <w:p w:rsidR="00E06B46" w:rsidRPr="00745668" w:rsidRDefault="00E06B46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SITE VISIT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</w:p>
        </w:tc>
        <w:tc>
          <w:tcPr>
            <w:tcW w:w="5040" w:type="dxa"/>
          </w:tcPr>
          <w:p w:rsidR="00E06B46" w:rsidRPr="00745668" w:rsidRDefault="00E06B4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Pre-visit questions and documents may be requested of the sub-grantee</w:t>
            </w:r>
          </w:p>
          <w:p w:rsidR="00E06B46" w:rsidRPr="00745668" w:rsidRDefault="00E06B4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Staff interviews to understand systems and other issues as applicable to the grantee</w:t>
            </w:r>
          </w:p>
          <w:p w:rsidR="00E06B46" w:rsidRPr="00745668" w:rsidRDefault="00E06B4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Source documentation testing</w:t>
            </w:r>
          </w:p>
          <w:p w:rsidR="00E06B46" w:rsidRPr="00745668" w:rsidRDefault="00E06B46" w:rsidP="008C39DD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Specific issue investigation (as applicable)</w:t>
            </w:r>
          </w:p>
        </w:tc>
        <w:tc>
          <w:tcPr>
            <w:tcW w:w="2160" w:type="dxa"/>
            <w:vAlign w:val="center"/>
          </w:tcPr>
          <w:p w:rsidR="00A675FC" w:rsidRDefault="00A675FC" w:rsidP="00A675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504D"/>
                <w:sz w:val="20"/>
                <w:szCs w:val="20"/>
              </w:rPr>
              <w:t>*</w:t>
            </w:r>
            <w:r w:rsidRPr="00321A94">
              <w:rPr>
                <w:rFonts w:ascii="Calibri" w:hAnsi="Calibri"/>
                <w:b/>
                <w:color w:val="C0504D"/>
                <w:sz w:val="20"/>
                <w:szCs w:val="20"/>
              </w:rPr>
              <w:t>SUB-GRANTEE RISK LEVEL:</w:t>
            </w:r>
            <w:r>
              <w:rPr>
                <w:rFonts w:ascii="Calibri" w:hAnsi="Calibri"/>
                <w:sz w:val="20"/>
                <w:szCs w:val="20"/>
              </w:rPr>
              <w:t xml:space="preserve">  High – but all sub-grantees will receive an on-site visit at least once during a 3-year project period.</w:t>
            </w:r>
          </w:p>
          <w:p w:rsidR="00A675FC" w:rsidRDefault="00A675FC" w:rsidP="00A675FC">
            <w:pPr>
              <w:rPr>
                <w:rFonts w:ascii="Calibri" w:hAnsi="Calibri"/>
                <w:sz w:val="20"/>
                <w:szCs w:val="20"/>
              </w:rPr>
            </w:pPr>
          </w:p>
          <w:p w:rsidR="00A675FC" w:rsidRPr="00845420" w:rsidRDefault="00A675FC" w:rsidP="00A675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be a strategy to monitor the progress of a program working within a corrective action plan</w:t>
            </w:r>
          </w:p>
          <w:p w:rsidR="00E06B46" w:rsidRPr="00745668" w:rsidRDefault="00E06B46" w:rsidP="00BD61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6B46" w:rsidRPr="00745668" w:rsidTr="003009D1">
        <w:trPr>
          <w:cantSplit/>
          <w:trHeight w:val="1025"/>
        </w:trPr>
        <w:tc>
          <w:tcPr>
            <w:tcW w:w="1818" w:type="dxa"/>
          </w:tcPr>
          <w:p w:rsidR="00E06B46" w:rsidRPr="00745668" w:rsidRDefault="00E06B46" w:rsidP="001F30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FINAL PER MONITORING</w:t>
            </w:r>
          </w:p>
        </w:tc>
        <w:tc>
          <w:tcPr>
            <w:tcW w:w="5040" w:type="dxa"/>
          </w:tcPr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Ensure that the sub-grantee is meeting budgeted matching percentages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Test for overall reasonableness of costs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Conduct living allowance reasonableness analysis 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 xml:space="preserve">Ensure that administrative cost percentages are in compliance 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Ensure FICA is in compliance</w:t>
            </w:r>
          </w:p>
          <w:p w:rsidR="00E06B46" w:rsidRPr="00745668" w:rsidRDefault="00E06B46" w:rsidP="001F3060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Ensure actual expenditures are within approved variance levels and budgeted amounts</w:t>
            </w:r>
          </w:p>
        </w:tc>
        <w:tc>
          <w:tcPr>
            <w:tcW w:w="2160" w:type="dxa"/>
            <w:vAlign w:val="center"/>
          </w:tcPr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color w:val="C0504D"/>
                <w:sz w:val="20"/>
                <w:szCs w:val="20"/>
              </w:rPr>
              <w:t>*REQUIRED*</w:t>
            </w:r>
            <w:r w:rsidRPr="00745668">
              <w:rPr>
                <w:rFonts w:ascii="Calibri" w:hAnsi="Calibri"/>
                <w:sz w:val="20"/>
                <w:szCs w:val="20"/>
              </w:rPr>
              <w:t xml:space="preserve"> All sub-grantees receive Final PER Monitoring annually. </w:t>
            </w:r>
          </w:p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</w:p>
          <w:p w:rsidR="00E06B46" w:rsidRPr="00745668" w:rsidRDefault="00E06B46" w:rsidP="001F3060">
            <w:p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OneStar staff may utilize components of Final PER monitoring to conduct periodic monitoring of PERs throughout the year.</w:t>
            </w:r>
          </w:p>
        </w:tc>
      </w:tr>
      <w:tr w:rsidR="00E06B46" w:rsidRPr="00745668" w:rsidTr="003009D1">
        <w:trPr>
          <w:cantSplit/>
          <w:trHeight w:val="1025"/>
        </w:trPr>
        <w:tc>
          <w:tcPr>
            <w:tcW w:w="1818" w:type="dxa"/>
          </w:tcPr>
          <w:p w:rsidR="00E06B46" w:rsidRPr="00745668" w:rsidRDefault="00E06B46" w:rsidP="00145B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5668">
              <w:rPr>
                <w:rFonts w:ascii="Calibri" w:hAnsi="Calibri"/>
                <w:b/>
                <w:sz w:val="20"/>
                <w:szCs w:val="20"/>
              </w:rPr>
              <w:t>RANDOM SAMPLING</w:t>
            </w:r>
          </w:p>
        </w:tc>
        <w:tc>
          <w:tcPr>
            <w:tcW w:w="5040" w:type="dxa"/>
          </w:tcPr>
          <w:p w:rsidR="00E06B46" w:rsidRPr="00745668" w:rsidRDefault="00E06B46" w:rsidP="00145B28">
            <w:pPr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745668">
              <w:rPr>
                <w:rFonts w:ascii="Calibri" w:hAnsi="Calibri"/>
                <w:sz w:val="20"/>
                <w:szCs w:val="20"/>
              </w:rPr>
              <w:t>Staff may use any of the above processes to conduct testing on sub-grantees</w:t>
            </w:r>
          </w:p>
        </w:tc>
        <w:tc>
          <w:tcPr>
            <w:tcW w:w="2160" w:type="dxa"/>
            <w:vAlign w:val="center"/>
          </w:tcPr>
          <w:p w:rsidR="00E06B46" w:rsidRDefault="00E06B46" w:rsidP="00145B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504D"/>
                <w:sz w:val="20"/>
                <w:szCs w:val="20"/>
              </w:rPr>
              <w:t>*</w:t>
            </w:r>
            <w:r w:rsidRPr="00321A94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SUB-GRANTEE RISK LEVEL: </w:t>
            </w:r>
            <w:r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Varies</w:t>
            </w:r>
          </w:p>
          <w:p w:rsidR="00E06B46" w:rsidRDefault="00E06B46" w:rsidP="00145B28">
            <w:pPr>
              <w:rPr>
                <w:rFonts w:ascii="Calibri" w:hAnsi="Calibri"/>
                <w:sz w:val="20"/>
                <w:szCs w:val="20"/>
              </w:rPr>
            </w:pPr>
          </w:p>
          <w:p w:rsidR="00E06B46" w:rsidRPr="00BD614B" w:rsidRDefault="00E06B46" w:rsidP="00BD614B">
            <w:pPr>
              <w:rPr>
                <w:rFonts w:ascii="Calibri" w:hAnsi="Calibri"/>
                <w:sz w:val="20"/>
                <w:szCs w:val="20"/>
              </w:rPr>
            </w:pPr>
            <w:r w:rsidRPr="00BD614B">
              <w:rPr>
                <w:rFonts w:ascii="Calibri" w:hAnsi="Calibri"/>
                <w:sz w:val="20"/>
                <w:szCs w:val="20"/>
              </w:rPr>
              <w:t>May be used as a strategy for high-risk grantees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8C39D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614B">
              <w:rPr>
                <w:rFonts w:ascii="Calibri" w:hAnsi="Calibri"/>
                <w:sz w:val="20"/>
                <w:szCs w:val="20"/>
              </w:rPr>
              <w:t>for those that are working within a corrective action plan</w:t>
            </w:r>
            <w:r>
              <w:rPr>
                <w:rFonts w:ascii="Calibri" w:hAnsi="Calibri"/>
                <w:sz w:val="20"/>
                <w:szCs w:val="20"/>
              </w:rPr>
              <w:t xml:space="preserve">, or other </w:t>
            </w:r>
            <w:r w:rsidR="008C39DD">
              <w:rPr>
                <w:rFonts w:ascii="Calibri" w:hAnsi="Calibri"/>
                <w:sz w:val="20"/>
                <w:szCs w:val="20"/>
              </w:rPr>
              <w:t xml:space="preserve">pervasive </w:t>
            </w:r>
            <w:r>
              <w:rPr>
                <w:rFonts w:ascii="Calibri" w:hAnsi="Calibri"/>
                <w:sz w:val="20"/>
                <w:szCs w:val="20"/>
              </w:rPr>
              <w:t xml:space="preserve">issues </w:t>
            </w:r>
            <w:r w:rsidR="008C39DD">
              <w:rPr>
                <w:rFonts w:ascii="Calibri" w:hAnsi="Calibri"/>
                <w:sz w:val="20"/>
                <w:szCs w:val="20"/>
              </w:rPr>
              <w:t xml:space="preserve">or trends </w:t>
            </w:r>
            <w:r>
              <w:rPr>
                <w:rFonts w:ascii="Calibri" w:hAnsi="Calibri"/>
                <w:sz w:val="20"/>
                <w:szCs w:val="20"/>
              </w:rPr>
              <w:t>identified by OneStar</w:t>
            </w:r>
          </w:p>
          <w:p w:rsidR="00E06B46" w:rsidRPr="00845420" w:rsidRDefault="00E06B46" w:rsidP="00145B28">
            <w:pPr>
              <w:rPr>
                <w:rFonts w:ascii="Calibri" w:hAnsi="Calibri"/>
                <w:sz w:val="20"/>
                <w:szCs w:val="20"/>
              </w:rPr>
            </w:pPr>
          </w:p>
          <w:p w:rsidR="00E06B46" w:rsidRDefault="00E06B46" w:rsidP="00145B2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E06B46" w:rsidRPr="00745668" w:rsidRDefault="00E06B46" w:rsidP="00145B2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321A94" w:rsidRDefault="00321A94" w:rsidP="00CB2CDC">
      <w:pPr>
        <w:rPr>
          <w:rFonts w:ascii="Calibri" w:hAnsi="Calibri"/>
          <w:sz w:val="22"/>
          <w:szCs w:val="22"/>
        </w:rPr>
      </w:pPr>
    </w:p>
    <w:p w:rsidR="00E06B46" w:rsidRPr="002B4EF1" w:rsidRDefault="00E06B46" w:rsidP="00E06B46">
      <w:pPr>
        <w:rPr>
          <w:rFonts w:asciiTheme="minorHAnsi" w:hAnsiTheme="minorHAnsi"/>
          <w:sz w:val="20"/>
          <w:szCs w:val="20"/>
          <w:u w:val="single"/>
        </w:rPr>
      </w:pPr>
      <w:r w:rsidRPr="002B4EF1">
        <w:rPr>
          <w:rFonts w:asciiTheme="minorHAnsi" w:hAnsiTheme="minorHAnsi"/>
          <w:b/>
          <w:sz w:val="20"/>
          <w:szCs w:val="20"/>
          <w:u w:val="single"/>
        </w:rPr>
        <w:t>High-Risk Sub-Grantees:</w:t>
      </w:r>
    </w:p>
    <w:p w:rsidR="00E06B46" w:rsidRPr="002B4EF1" w:rsidRDefault="00E06B46" w:rsidP="00E06B46">
      <w:pPr>
        <w:rPr>
          <w:rFonts w:asciiTheme="minorHAnsi" w:hAnsiTheme="minorHAnsi" w:cs="Arial"/>
          <w:sz w:val="20"/>
          <w:szCs w:val="20"/>
        </w:rPr>
      </w:pPr>
    </w:p>
    <w:p w:rsidR="00E06B46" w:rsidRPr="002B4EF1" w:rsidRDefault="00E06B46" w:rsidP="00E06B46">
      <w:pPr>
        <w:rPr>
          <w:rFonts w:ascii="Calibri" w:hAnsi="Calibri"/>
          <w:sz w:val="20"/>
          <w:szCs w:val="20"/>
        </w:rPr>
      </w:pPr>
      <w:r w:rsidRPr="002B4EF1">
        <w:rPr>
          <w:rFonts w:ascii="Calibri" w:hAnsi="Calibri"/>
          <w:sz w:val="20"/>
          <w:szCs w:val="20"/>
        </w:rPr>
        <w:lastRenderedPageBreak/>
        <w:t>High risk sub-grantees or sub-grantees that are put on a corrective action plan may warrant additional monitoring processes. OneStar may expand the scope, conduct additional types of monitoring, increase frequency of monitoring, or a combination of these for this type of sub-grantee. See OneStar’s High-Risk Grantee policy.</w:t>
      </w:r>
    </w:p>
    <w:p w:rsidR="00E06B46" w:rsidRPr="002B4EF1" w:rsidRDefault="00E06B46" w:rsidP="00CB2CDC">
      <w:pPr>
        <w:rPr>
          <w:rFonts w:ascii="Calibri" w:hAnsi="Calibri"/>
          <w:sz w:val="20"/>
          <w:szCs w:val="20"/>
        </w:rPr>
      </w:pPr>
    </w:p>
    <w:p w:rsidR="00845420" w:rsidRPr="002B4EF1" w:rsidRDefault="00845420" w:rsidP="00CB2CDC">
      <w:pPr>
        <w:rPr>
          <w:rFonts w:ascii="Calibri" w:hAnsi="Calibri"/>
          <w:sz w:val="20"/>
          <w:szCs w:val="20"/>
        </w:rPr>
      </w:pPr>
      <w:r w:rsidRPr="002B4EF1">
        <w:rPr>
          <w:rFonts w:ascii="Calibri" w:hAnsi="Calibri"/>
          <w:sz w:val="20"/>
          <w:szCs w:val="20"/>
        </w:rPr>
        <w:t>Low, Medium and</w:t>
      </w:r>
      <w:r w:rsidR="00FB3E02" w:rsidRPr="002B4EF1">
        <w:rPr>
          <w:rFonts w:ascii="Calibri" w:hAnsi="Calibri"/>
          <w:sz w:val="20"/>
          <w:szCs w:val="20"/>
        </w:rPr>
        <w:t xml:space="preserve"> High Risk designations for these</w:t>
      </w:r>
      <w:r w:rsidRPr="002B4EF1">
        <w:rPr>
          <w:rFonts w:ascii="Calibri" w:hAnsi="Calibri"/>
          <w:sz w:val="20"/>
          <w:szCs w:val="20"/>
        </w:rPr>
        <w:t xml:space="preserve"> methods of monito</w:t>
      </w:r>
      <w:r w:rsidR="00BD614B" w:rsidRPr="002B4EF1">
        <w:rPr>
          <w:rFonts w:ascii="Calibri" w:hAnsi="Calibri"/>
          <w:sz w:val="20"/>
          <w:szCs w:val="20"/>
        </w:rPr>
        <w:t xml:space="preserve">ring are </w:t>
      </w:r>
      <w:r w:rsidR="00FB3E02" w:rsidRPr="002B4EF1">
        <w:rPr>
          <w:rFonts w:ascii="Calibri" w:hAnsi="Calibri"/>
          <w:sz w:val="20"/>
          <w:szCs w:val="20"/>
        </w:rPr>
        <w:t>not fixed</w:t>
      </w:r>
      <w:r w:rsidR="00BD614B" w:rsidRPr="002B4EF1">
        <w:rPr>
          <w:rFonts w:ascii="Calibri" w:hAnsi="Calibri"/>
          <w:sz w:val="20"/>
          <w:szCs w:val="20"/>
        </w:rPr>
        <w:t xml:space="preserve">. </w:t>
      </w:r>
      <w:r w:rsidR="002456A7" w:rsidRPr="002B4EF1">
        <w:rPr>
          <w:rFonts w:ascii="Calibri" w:hAnsi="Calibri"/>
          <w:sz w:val="20"/>
          <w:szCs w:val="20"/>
        </w:rPr>
        <w:t>Grants Officers (Fiscal)</w:t>
      </w:r>
      <w:r w:rsidR="00FB3E02" w:rsidRPr="002B4EF1">
        <w:rPr>
          <w:rFonts w:ascii="Calibri" w:hAnsi="Calibri"/>
          <w:sz w:val="20"/>
          <w:szCs w:val="20"/>
        </w:rPr>
        <w:t xml:space="preserve"> use their professional judgments</w:t>
      </w:r>
      <w:r w:rsidR="00BD614B" w:rsidRPr="002B4EF1">
        <w:rPr>
          <w:rFonts w:ascii="Calibri" w:hAnsi="Calibri"/>
          <w:sz w:val="20"/>
          <w:szCs w:val="20"/>
        </w:rPr>
        <w:t xml:space="preserve"> on the type of moni</w:t>
      </w:r>
      <w:r w:rsidR="00FB3E02" w:rsidRPr="002B4EF1">
        <w:rPr>
          <w:rFonts w:ascii="Calibri" w:hAnsi="Calibri"/>
          <w:sz w:val="20"/>
          <w:szCs w:val="20"/>
        </w:rPr>
        <w:t>toring that</w:t>
      </w:r>
      <w:r w:rsidR="008C39DD" w:rsidRPr="002B4EF1">
        <w:rPr>
          <w:rFonts w:ascii="Calibri" w:hAnsi="Calibri"/>
          <w:sz w:val="20"/>
          <w:szCs w:val="20"/>
        </w:rPr>
        <w:t xml:space="preserve"> i</w:t>
      </w:r>
      <w:r w:rsidR="00FB3E02" w:rsidRPr="002B4EF1">
        <w:rPr>
          <w:rFonts w:ascii="Calibri" w:hAnsi="Calibri"/>
          <w:sz w:val="20"/>
          <w:szCs w:val="20"/>
        </w:rPr>
        <w:t>s needed for each sub-grantee.</w:t>
      </w:r>
    </w:p>
    <w:p w:rsidR="0014633B" w:rsidRPr="002B4EF1" w:rsidRDefault="0014633B" w:rsidP="0014633B">
      <w:pPr>
        <w:pStyle w:val="ListParagraph"/>
        <w:rPr>
          <w:rFonts w:asciiTheme="minorHAnsi" w:hAnsiTheme="minorHAnsi"/>
          <w:sz w:val="20"/>
          <w:szCs w:val="20"/>
        </w:rPr>
      </w:pPr>
    </w:p>
    <w:p w:rsidR="002D19F2" w:rsidRPr="002B4EF1" w:rsidRDefault="002D19F2" w:rsidP="00CB2CDC">
      <w:pPr>
        <w:rPr>
          <w:rFonts w:asciiTheme="minorHAnsi" w:hAnsiTheme="minorHAnsi"/>
          <w:sz w:val="20"/>
          <w:szCs w:val="20"/>
        </w:rPr>
      </w:pPr>
    </w:p>
    <w:sectPr w:rsidR="002D19F2" w:rsidRPr="002B4EF1" w:rsidSect="00145B28">
      <w:headerReference w:type="default" r:id="rId9"/>
      <w:footerReference w:type="default" r:id="rId10"/>
      <w:pgSz w:w="12240" w:h="15840"/>
      <w:pgMar w:top="180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68" w:rsidRDefault="00553268" w:rsidP="00E71968">
      <w:r>
        <w:separator/>
      </w:r>
    </w:p>
  </w:endnote>
  <w:endnote w:type="continuationSeparator" w:id="0">
    <w:p w:rsidR="00553268" w:rsidRDefault="00553268" w:rsidP="00E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96482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B3E02" w:rsidRPr="00501DEA" w:rsidRDefault="00FB3E02" w:rsidP="00501DEA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Last revised </w:t>
            </w:r>
            <w:r w:rsidR="007F6296">
              <w:rPr>
                <w:rFonts w:asciiTheme="minorHAnsi" w:hAnsiTheme="minorHAnsi"/>
                <w:i/>
                <w:sz w:val="18"/>
                <w:szCs w:val="18"/>
              </w:rPr>
              <w:t>9.4</w:t>
            </w:r>
            <w:r w:rsidR="008467BA">
              <w:rPr>
                <w:rFonts w:asciiTheme="minorHAnsi" w:hAnsiTheme="minorHAnsi"/>
                <w:i/>
                <w:sz w:val="18"/>
                <w:szCs w:val="18"/>
              </w:rPr>
              <w:t>.1</w:t>
            </w:r>
            <w:r w:rsidR="007F6296">
              <w:rPr>
                <w:rFonts w:asciiTheme="minorHAnsi" w:hAnsiTheme="minorHAnsi"/>
                <w:i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  <w:t xml:space="preserve">   </w:t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9D64C7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9D64C7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7F6296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9D64C7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9D64C7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9D64C7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7F6296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="009D64C7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B3E02" w:rsidRPr="00CB2CDC" w:rsidRDefault="00FB3E02">
    <w:pPr>
      <w:pStyle w:val="Footer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68" w:rsidRDefault="00553268" w:rsidP="00E71968">
      <w:r>
        <w:separator/>
      </w:r>
    </w:p>
  </w:footnote>
  <w:footnote w:type="continuationSeparator" w:id="0">
    <w:p w:rsidR="00553268" w:rsidRDefault="00553268" w:rsidP="00E7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2" w:rsidRDefault="002456A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2D929" wp14:editId="0E41E558">
          <wp:simplePos x="0" y="0"/>
          <wp:positionH relativeFrom="column">
            <wp:posOffset>28575</wp:posOffset>
          </wp:positionH>
          <wp:positionV relativeFrom="paragraph">
            <wp:posOffset>29210</wp:posOffset>
          </wp:positionV>
          <wp:extent cx="1687286" cy="533400"/>
          <wp:effectExtent l="0" t="0" r="0" b="0"/>
          <wp:wrapNone/>
          <wp:docPr id="1" name="Picture 1" descr="Logo-With Tag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 Tagline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9200"/>
                  <a:stretch/>
                </pic:blipFill>
                <pic:spPr bwMode="auto">
                  <a:xfrm>
                    <a:off x="0" y="0"/>
                    <a:ext cx="168728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34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3291840</wp:posOffset>
              </wp:positionH>
              <wp:positionV relativeFrom="paragraph">
                <wp:posOffset>17145</wp:posOffset>
              </wp:positionV>
              <wp:extent cx="3329940" cy="50482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E02" w:rsidRPr="002B6DF9" w:rsidRDefault="00FB3E02" w:rsidP="0096075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28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28"/>
                            </w:rPr>
                            <w:t>AmeriCorps Policies + Procedures</w:t>
                          </w:r>
                        </w:p>
                        <w:p w:rsidR="00FB3E02" w:rsidRPr="002B6DF9" w:rsidRDefault="00FB3E02" w:rsidP="0096075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color w:val="FF9900"/>
                            </w:rPr>
                            <w:t>Monitoring and 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2pt;margin-top:1.35pt;width:262.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lBsw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" filled="f" stroked="f">
              <v:textbox>
                <w:txbxContent>
                  <w:p w:rsidR="00FB3E02" w:rsidRPr="002B6DF9" w:rsidRDefault="00FB3E02" w:rsidP="00960758">
                    <w:pPr>
                      <w:jc w:val="right"/>
                      <w:rPr>
                        <w:rFonts w:ascii="Arial Bold" w:hAnsi="Arial Bold"/>
                        <w:color w:val="62A4C2"/>
                        <w:sz w:val="28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28"/>
                      </w:rPr>
                      <w:t>AmeriCorps Policies + Procedures</w:t>
                    </w:r>
                  </w:p>
                  <w:p w:rsidR="00FB3E02" w:rsidRPr="002B6DF9" w:rsidRDefault="00FB3E02" w:rsidP="00960758">
                    <w:pPr>
                      <w:jc w:val="right"/>
                      <w:rPr>
                        <w:rFonts w:ascii="Arial Bold" w:hAnsi="Arial Bold"/>
                        <w:color w:val="62A4C2"/>
                        <w:sz w:val="32"/>
                      </w:rPr>
                    </w:pPr>
                    <w:r>
                      <w:rPr>
                        <w:rFonts w:ascii="Arial" w:hAnsi="Arial"/>
                        <w:color w:val="FF9900"/>
                      </w:rPr>
                      <w:t>Monitoring and Resolution</w:t>
                    </w:r>
                  </w:p>
                </w:txbxContent>
              </v:textbox>
            </v:shape>
          </w:pict>
        </mc:Fallback>
      </mc:AlternateContent>
    </w:r>
    <w:r w:rsidR="007053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41275</wp:posOffset>
              </wp:positionV>
              <wp:extent cx="0" cy="457200"/>
              <wp:effectExtent l="9525" t="12700" r="952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.25pt" to="24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3E"/>
    <w:multiLevelType w:val="hybridMultilevel"/>
    <w:tmpl w:val="BD6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0EF"/>
    <w:multiLevelType w:val="hybridMultilevel"/>
    <w:tmpl w:val="C5F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7EFE"/>
    <w:multiLevelType w:val="hybridMultilevel"/>
    <w:tmpl w:val="6E94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36F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72C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0308"/>
    <w:multiLevelType w:val="hybridMultilevel"/>
    <w:tmpl w:val="F90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423"/>
    <w:multiLevelType w:val="hybridMultilevel"/>
    <w:tmpl w:val="BE5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0119F"/>
    <w:multiLevelType w:val="hybridMultilevel"/>
    <w:tmpl w:val="531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B6150"/>
    <w:multiLevelType w:val="hybridMultilevel"/>
    <w:tmpl w:val="E894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67590"/>
    <w:multiLevelType w:val="hybridMultilevel"/>
    <w:tmpl w:val="BCB26FE4"/>
    <w:lvl w:ilvl="0" w:tplc="23EEB9E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38642E"/>
    <w:multiLevelType w:val="hybridMultilevel"/>
    <w:tmpl w:val="E76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E6309"/>
    <w:multiLevelType w:val="hybridMultilevel"/>
    <w:tmpl w:val="457E8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417852"/>
    <w:multiLevelType w:val="hybridMultilevel"/>
    <w:tmpl w:val="B88E9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8L0EJpVDJi0+ybiyJu4eA1FO4=" w:salt="brg/+Ghe8UwMMyf3Kl4NHw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68"/>
    <w:rsid w:val="000953C5"/>
    <w:rsid w:val="000A361C"/>
    <w:rsid w:val="000C7AB2"/>
    <w:rsid w:val="001032C1"/>
    <w:rsid w:val="00107709"/>
    <w:rsid w:val="00125C90"/>
    <w:rsid w:val="00145B28"/>
    <w:rsid w:val="0014633B"/>
    <w:rsid w:val="0017186C"/>
    <w:rsid w:val="001D1C88"/>
    <w:rsid w:val="001E1D99"/>
    <w:rsid w:val="0021735B"/>
    <w:rsid w:val="0022307D"/>
    <w:rsid w:val="002456A7"/>
    <w:rsid w:val="00271BBC"/>
    <w:rsid w:val="00271C74"/>
    <w:rsid w:val="002B15A2"/>
    <w:rsid w:val="002B4EF1"/>
    <w:rsid w:val="002B7C31"/>
    <w:rsid w:val="002D19F2"/>
    <w:rsid w:val="002F7F94"/>
    <w:rsid w:val="003009D1"/>
    <w:rsid w:val="00307106"/>
    <w:rsid w:val="00312362"/>
    <w:rsid w:val="00317B0D"/>
    <w:rsid w:val="00321A94"/>
    <w:rsid w:val="00357B2E"/>
    <w:rsid w:val="00437E04"/>
    <w:rsid w:val="004701F5"/>
    <w:rsid w:val="004C4B70"/>
    <w:rsid w:val="00501DEA"/>
    <w:rsid w:val="005239ED"/>
    <w:rsid w:val="00526B9D"/>
    <w:rsid w:val="0053569E"/>
    <w:rsid w:val="00553268"/>
    <w:rsid w:val="00573069"/>
    <w:rsid w:val="005B1B46"/>
    <w:rsid w:val="005D2B4F"/>
    <w:rsid w:val="00614839"/>
    <w:rsid w:val="006254F4"/>
    <w:rsid w:val="0067159C"/>
    <w:rsid w:val="0070136B"/>
    <w:rsid w:val="00705340"/>
    <w:rsid w:val="007405AC"/>
    <w:rsid w:val="00743E5A"/>
    <w:rsid w:val="007B09AC"/>
    <w:rsid w:val="007F6296"/>
    <w:rsid w:val="00800404"/>
    <w:rsid w:val="00845420"/>
    <w:rsid w:val="008467BA"/>
    <w:rsid w:val="008C39DD"/>
    <w:rsid w:val="008E0D6B"/>
    <w:rsid w:val="0095427F"/>
    <w:rsid w:val="00960758"/>
    <w:rsid w:val="009B3957"/>
    <w:rsid w:val="009D64C7"/>
    <w:rsid w:val="009E0E5A"/>
    <w:rsid w:val="00A11C4B"/>
    <w:rsid w:val="00A60A57"/>
    <w:rsid w:val="00A675FC"/>
    <w:rsid w:val="00A7531E"/>
    <w:rsid w:val="00AB1AB1"/>
    <w:rsid w:val="00AD4747"/>
    <w:rsid w:val="00B01D5E"/>
    <w:rsid w:val="00B23521"/>
    <w:rsid w:val="00B33783"/>
    <w:rsid w:val="00B37E67"/>
    <w:rsid w:val="00BD614B"/>
    <w:rsid w:val="00BF7DDE"/>
    <w:rsid w:val="00C4606B"/>
    <w:rsid w:val="00CB2CDC"/>
    <w:rsid w:val="00CF2920"/>
    <w:rsid w:val="00CF64F3"/>
    <w:rsid w:val="00D13819"/>
    <w:rsid w:val="00E02E86"/>
    <w:rsid w:val="00E06B46"/>
    <w:rsid w:val="00E45DB5"/>
    <w:rsid w:val="00E71968"/>
    <w:rsid w:val="00E9051E"/>
    <w:rsid w:val="00E95C03"/>
    <w:rsid w:val="00EA463B"/>
    <w:rsid w:val="00EA794A"/>
    <w:rsid w:val="00EC369A"/>
    <w:rsid w:val="00ED3466"/>
    <w:rsid w:val="00F211B7"/>
    <w:rsid w:val="00FB157D"/>
    <w:rsid w:val="00FB1F8B"/>
    <w:rsid w:val="00FB3E02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2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2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E687-4AF7-4608-8ABE-33B9BFBC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Frankenberger</dc:creator>
  <cp:lastModifiedBy>Anna Eberhardt</cp:lastModifiedBy>
  <cp:revision>5</cp:revision>
  <cp:lastPrinted>2011-01-27T17:49:00Z</cp:lastPrinted>
  <dcterms:created xsi:type="dcterms:W3CDTF">2014-09-04T15:00:00Z</dcterms:created>
  <dcterms:modified xsi:type="dcterms:W3CDTF">2014-09-04T15:09:00Z</dcterms:modified>
</cp:coreProperties>
</file>